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두 배 더 뚜렷하게 나타난다. 이러한 경향은 η_sub 및 EQE를 증가시키기 위해 고굴절 기판과 광추출 구조를 활용할 때 더욱 크게 작용한다(그림 2(d), (e)). 고굴절 광추출 구조를 사용하면 광 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실제로 기판의 굴절률이 1.3에서 2.0으로 커지는 동안 p는 2.7배 작아지는 반면 왕복 손실 자체는 거의 변하지 않으므로(그림 2(d)), 추출 효율의 감소는 반사판이 나빠져서가 아니라 전적으로 p의 감소에서 비롯된다.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반사도뿐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ZnS와 LiF를 10쌍 적층한 DBR을 반사판으로 사용하면 흡수는 3.4%로 Ag보다 낮고, stopband를 벗어나 뒤로 투과되는 1.0%를 더한 왕복 손실도 4.5%로 Ag와 같은 수준이다(그림 2(i), (j)). 특히 탈출 원뿔 바깥의 각도에서는 뒤로 새어나갈 수 있는 경로가 원천적으로 막혀 흡수만 남으므로, 45°에서 90°에 이르는 이 영역에서는 DBR의 왕복 손실이 Ag보다 오히려 낮다(중앙값 4.6% 대 5.5%). 다만 이때 각 층의 두께는 발광 파장에서 단순히 λ/4 조건을 맞추어 정할 수 없다. 빗각으로 입사하는 빛에 대해서는 stopband가 단파장 쪽으로 이동하고 두 물질이 동시에 λ/4 조건을 만족하지 못하게 되어, 탈출 원뿔 안쪽 각도에서 빛이 뒤로 투과되기 때문이다. 같은 두께의 쌍을 더 쌓는 것으로도 해결되지 않는다. 쌍 수를 늘리면 stopband는 깊어질 뿐 넓어지지 않으므로, 두께가 균일한 스택에서는 10쌍, 15쌍, 20쌍에서 왕복 손실이 각각 5.5%, 5.7%, 6.0%로 오히려 커진다. 반면 적층 방향을 따라 두께를 점진적으로 늘리면 각 쌍이 조금씩 다른 파장을 담당하게 되어 stopband가 넓어진다. 본 연구에서는 기판 내 전 각도와 발광 스펙트럼 전 파장에 대한 흡수와 투과를 모두 고려하여 genetic algorithm으로 각 층의 두께를 최적화하였으며, 그 결과는 ZnS가 56 nm에서 80 nm로, LiF가 88 nm에서 125 nm로 점증하는 10쌍 구조였다. 같은 10쌍이라도 550 nm에서 λ/4 조건으로 설계하면 왕복 손실이 8.8%로 커지며, 쌍 수를 20쌍까지 늘려 같은 방식으로 최적화하면 4.0%까지 낮아져 Ag를 넘어선다.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