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제목안: Near-unity light extraction in organic light-emitting diodes by multi-pass extraction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 추출을 다중 통과 추출 과정으로 기술하는 닫힌 형태의 법칙을 유도하고, 파동 광학과 기하 광학을 결합한 통합형 광학 시뮬레이션으로 이를 검증하였다. 그 결과 반사판 역할을 하는 전극에서의 Joule dissipation loss와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다중 통과 추출과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디자인 룰에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공기 중으로 출광되는 분율로, 이하 이를 기판에서 공기로의 추출 효율(sub-to-air extraction efficiency)이라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 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Joule dissipation loss와 투명 전극에서의 흡수에 의해 주로 결정된다. p는 기판 내부에서 각도가 무작위화된 빛에 대해 대략 1/n_sub² 수준으로[15], 통상적인 유리 기판(n_sub = 1.5)에서 0.4 정도이다. 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낮아진다(n_sub = 1.5–1.8에서 3–6%p; Supplementary Fig. 1). 따라서 식 (3)은 경향과 상한을 보여주는 데 쓰고, 이후의 정량적인 값은 모두 행렬 급수로 계산하였다.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거울의 Joule dissipation loss와 TCO 흡수로 나누어 Al과 Ag 반사판에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거울의 Joule dissipation loss는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어느 두께에서든 Ag가 Al보다 12–15%p 높다(그림 2(c)). ITO 두께에 따른 변화에는 cavity 조건이 바뀌면서 기판에 도달하는 빛의 각도 분포가 달라지는 효과가 겹쳐 있어 단조롭지는 않지만, 200 nm에 이르면 두 반사판 모두에서 TCO 흡수가 추출 효율을 끌어내린다(Ag 95%에서 91%로).</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반사판이 나빠져서가 아니라 전적으로 p의 감소에서 비롯되며, Al과 Ag의 추출 효율 차이는 n_sub = 1.3에서 7%p, 1.5에서 13%p, 2.0에서 21%p로 벌어진다(그림 2(e)). 결과적으로 고굴절 광추출 구조를 쓰면 기판에 전달되는 빛은 많아지지만 추출 효율은 감소하며, 기생 흡수가 큰 Al 소자에서는 이 감소가 기판 전달 모드의 향상을 상쇄하여 EQE가 n_sub ≥ 1.8에서 55–59%에 머무른다(그림 2(f)). 기존 연구들이 60% 부근에서 멈춘 것은 바로 이 지점이다. 반면 왕복 손실이 수 %에 불과한 Ag 소자에서는 EQE가 기판 굴절률에 따라 계속 증가하여 n_sub = 1.8에서 84%, 2.0에서 87%에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전극 통합형 구조에서는 투명 전극을 두 번 지나지 않는 두꺼운 Ag가 더 단순하고 손실도 작다. 반면 dielectric 반사판은 전도성이 없어 완성된 소자 위에 전극과 무관하게 덧붙일 수 있으므로, 이미 만들어진 소자의 왕복 손실을 사후에 낮추는 보조 반사판으로 적합하며, 뒤의 실험에서 이 구성을 사용한다.</w:t>
      </w:r>
    </w:p>
    <w:p/>
    <w:p>
      <w:pPr>
        <w:spacing w:before="160" w:after="80"/>
      </w:pPr>
      <w:r>
        <w:rPr>
          <w:b/>
          <w:sz w:val="21"/>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loss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emitter로도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550 nm 단파장 계산을 하면 등방성 발광체로 87%(일반 스택 대비 +3%p), 최근 널리 보고되는 Θ ≈ 0.8–0.9의 발광체[[refs]]로 87.5–88%(+0.5–1%p), 여기에 ITO의 k를 0.0032에서 0.002로 낮추면 89–90%(+2%p)에 이른다(Supplementary Table 1)[[발광 스펙트럼 전체에 대한 다파장 계산으로 확인]].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다중 통과 추출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1의 곡선은 식 (3)이고, 그림 2–5와 Supplementary Table 1의 η_ext와 EQE는 모두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n_sub = 1.5–1.8에서 3–6%p 낮다(Supplementary Fig. 1). 따라서 식 (3)은 상한에 해당한다.</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등[21]이 보고한 값(refractiveindex.info; 550 nm에서 n = 1.864, k = 0.0032)을 사용하였고, 그 밖의 모든 층(Al, IZO, 유기물, ZnS, LiF)은 분광 타원측정(spectroscopic ellipsometry)으로 실측한 값을, Ag는 McPeak 등[[ref]]의 값을 사용하였다. 그림 4의 소자 시뮬레이션에도 각 층의 실측 광학상수를 사용하였다. Supplementary Table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평가하였다[22,23].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외부 광추출 구조가 부착된 OLED에서 기판으로 되돌아온 빛이 한 번 왕복할 때 잃는 손실 A′를 ITO 두께에 따라 거울의 Joule dissipation loss(색)와 TCO 흡수(회색)로 나눈 것, Al (a)와 Ag (b) 반사판.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(c), (e), (f)의 η_ext와 EQE는 기판과 굴절률이 같은 반구형 microlens array의 BSDF를 넣은 행렬 급수(식 (1))로 구한 값이며, (d)의 p는 그 BSDF의 투과 성분을 각도 가중치 cos θ sin θ로 평균한 단일 통과 탈출 확률이다(n = 1.5에서 0.43, 1.8에서 0.29).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(a)의 η_ext와 EQE는 n_MLA = 1.8 반구형 microlens array의 BSDF를 넣은 행렬 급수로 구하였다.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반구형 MLA의 aspect ratio와 기판 굴절률에 대한 두 계산의 차이).</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실제 재료 스택(Ag/B3PyMPM/TCTA:B3PyMPM/TAPC/ITO 50 nm/n_sub 1.8 + 반구형 MLA)의 550 nm EQE 계산: ETL 두께, ITO의 k, Θ에 따른 η_sub, A′, η_ext, EQE.</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보충자료 초안 — Supplementary Table 1. 실제 재료 스택의 EQE (550 nm, PLQY = 1)</w:t>
      </w:r>
    </w:p>
    <w:p/>
    <w:p>
      <w:r>
        <w:rPr>
          <w:b w:val="0"/>
        </w:rPr>
        <w:t>스택: Ag 100 nm / B3PyMPM d_ETL / TCTA:B3PyMPM 25 nm (발광 위치 중앙) / TAPC 180 nm / ITO 50 nm / 기판 n = 1.8 + 반구형 microlens array (BSDF 급수, n_MLA = 1.8). 광학상수는 실측값(B3PyMPM n_o/n_e = 1.821/1.609, TCTA:B3PyMPM 1.833/1.671, TAPC 1.691/1.664), ITO는 König 등의 n = 1.864에 k를 0.0032(문헌값) 또는 0.002로 두었다. 비교를 위해 식 (3)의 값을 괄호에 적었다.</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w:t>
            </w:r>
          </w:p>
        </w:tc>
        <w:tc>
          <w:tcPr>
            <w:tcW w:type="dxa" w:w="1128"/>
          </w:tcPr>
          <w:p>
            <w:r/>
            <w:r>
              <w:rPr>
                <w:b/>
                <w:sz w:val="16"/>
              </w:rPr>
              <w:t>A′</w:t>
            </w:r>
          </w:p>
        </w:tc>
        <w:tc>
          <w:tcPr>
            <w:tcW w:type="dxa" w:w="1128"/>
          </w:tcPr>
          <w:p>
            <w:r/>
            <w:r>
              <w:rPr>
                <w:b/>
                <w:sz w:val="16"/>
              </w:rPr>
              <w:t>η_ext 급수 (식 3)</w:t>
            </w:r>
          </w:p>
        </w:tc>
        <w:tc>
          <w:tcPr>
            <w:tcW w:type="dxa" w:w="1128"/>
          </w:tcPr>
          <w:p>
            <w:r/>
            <w:r>
              <w:rPr>
                <w:b/>
                <w:sz w:val="16"/>
              </w:rPr>
              <w:t>EQE 급수 (식 3)</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 (0.932)</w:t>
            </w:r>
          </w:p>
        </w:tc>
        <w:tc>
          <w:tcPr>
            <w:tcW w:type="dxa" w:w="1128"/>
          </w:tcPr>
          <w:p>
            <w:r/>
            <w:r>
              <w:rPr>
                <w:b w:val="0"/>
                <w:sz w:val="16"/>
              </w:rPr>
              <w:t>0.869 (0.888)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 (0.932)</w:t>
            </w:r>
          </w:p>
        </w:tc>
        <w:tc>
          <w:tcPr>
            <w:tcW w:type="dxa" w:w="1128"/>
          </w:tcPr>
          <w:p>
            <w:r/>
            <w:r>
              <w:rPr>
                <w:b w:val="0"/>
                <w:sz w:val="16"/>
              </w:rPr>
              <w:t>0.875 (0.898)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 (0.932)</w:t>
            </w:r>
          </w:p>
        </w:tc>
        <w:tc>
          <w:tcPr>
            <w:tcW w:type="dxa" w:w="1128"/>
          </w:tcPr>
          <w:p>
            <w:r/>
            <w:r>
              <w:rPr>
                <w:b w:val="0"/>
                <w:sz w:val="16"/>
              </w:rPr>
              <w:t>0.879 (0.905)</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 (0.944)</w:t>
            </w:r>
          </w:p>
        </w:tc>
        <w:tc>
          <w:tcPr>
            <w:tcW w:type="dxa" w:w="1128"/>
          </w:tcPr>
          <w:p>
            <w:r/>
            <w:r>
              <w:rPr>
                <w:b w:val="0"/>
                <w:sz w:val="16"/>
              </w:rPr>
              <w:t>0.887 (0.901)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 (0.944)</w:t>
            </w:r>
          </w:p>
        </w:tc>
        <w:tc>
          <w:tcPr>
            <w:tcW w:type="dxa" w:w="1128"/>
          </w:tcPr>
          <w:p>
            <w:r/>
            <w:r>
              <w:rPr>
                <w:b w:val="0"/>
                <w:sz w:val="16"/>
              </w:rPr>
              <w:t>0.894 (0.911)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 (0.944)</w:t>
            </w:r>
          </w:p>
        </w:tc>
        <w:tc>
          <w:tcPr>
            <w:tcW w:type="dxa" w:w="1128"/>
          </w:tcPr>
          <w:p>
            <w:r/>
            <w:r>
              <w:rPr>
                <w:b w:val="0"/>
                <w:sz w:val="16"/>
              </w:rPr>
              <w:t>0.899 (0.919)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 (0.933)</w:t>
            </w:r>
          </w:p>
        </w:tc>
        <w:tc>
          <w:tcPr>
            <w:tcW w:type="dxa" w:w="1128"/>
          </w:tcPr>
          <w:p>
            <w:r/>
            <w:r>
              <w:rPr>
                <w:b w:val="0"/>
                <w:sz w:val="16"/>
              </w:rPr>
              <w:t>0.874 (0.899)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 (0.933)</w:t>
            </w:r>
          </w:p>
        </w:tc>
        <w:tc>
          <w:tcPr>
            <w:tcW w:type="dxa" w:w="1128"/>
          </w:tcPr>
          <w:p>
            <w:r/>
            <w:r>
              <w:rPr>
                <w:b w:val="0"/>
                <w:sz w:val="16"/>
              </w:rPr>
              <w:t>0.875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 (0.933)</w:t>
            </w:r>
          </w:p>
        </w:tc>
        <w:tc>
          <w:tcPr>
            <w:tcW w:type="dxa" w:w="1128"/>
          </w:tcPr>
          <w:p>
            <w:r/>
            <w:r>
              <w:rPr>
                <w:b w:val="0"/>
                <w:sz w:val="16"/>
              </w:rPr>
              <w:t>0.877 (0.910)</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 (0.945)</w:t>
            </w:r>
          </w:p>
        </w:tc>
        <w:tc>
          <w:tcPr>
            <w:tcW w:type="dxa" w:w="1128"/>
          </w:tcPr>
          <w:p>
            <w:r/>
            <w:r>
              <w:rPr>
                <w:b w:val="0"/>
                <w:sz w:val="16"/>
              </w:rPr>
              <w:t>0.895 (0.913)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 (0.945)</w:t>
            </w:r>
          </w:p>
        </w:tc>
        <w:tc>
          <w:tcPr>
            <w:tcW w:type="dxa" w:w="1128"/>
          </w:tcPr>
          <w:p>
            <w:r/>
            <w:r>
              <w:rPr>
                <w:b w:val="0"/>
                <w:sz w:val="16"/>
              </w:rPr>
              <w:t>0.898 (0.919)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 (0.945)</w:t>
            </w:r>
          </w:p>
        </w:tc>
        <w:tc>
          <w:tcPr>
            <w:tcW w:type="dxa" w:w="1128"/>
          </w:tcPr>
          <w:p>
            <w:r/>
            <w:r>
              <w:rPr>
                <w:b w:val="0"/>
                <w:sz w:val="16"/>
              </w:rPr>
              <w:t>0.900 (0.924)</w:t>
            </w:r>
          </w:p>
        </w:tc>
      </w:tr>
    </w:tbl>
    <w:p/>
    <w:p/>
    <w:p>
      <w:r>
        <w:rPr>
          <w:b w:val="0"/>
        </w:rPr>
        <w:t>[[저자의 다파장 통합 모델로 재계산하여 교체]]</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[16]–[19], [21], [22].</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