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통상적인 Al 반사판에서는 TCO 흡수가 거울 손실과 맞먹는 수준까지 커지고 저손실 Ag 반사판에서는 사실상 유일한 손실 경로가 된다. 그 결과 추출 효율은 Al에서도 뚜렷하게, Ag에서는 더 가파르게 감소한다. 이러한 경향은 η_sub를 높이기 위해 고굴절 기판과 광추출 구조를 활용할 때 더욱 크게 드러난다(그림 2(b)). 고굴절 광추출 구조를 사용하면 기판과 공기 사이의 굴절률 차이가 커져 critical angle이 작아지고, 한 번에 출광되는 빛의 양이 줄어 빛이 더 여러 번 왕복해야 하기 때문이다(Supplementary Fig. 3: 광추출 층의 굴절률에 따른 BSDF_T, BSDF_R 특성). 그림 2(b)에서 보듯 고굴절 광추출 구조를 쓰면 기판에 전달되는 빛은 많아지지만 extraction efficiency는 감소하며, 기생 흡수가 큰 소자일수록 이 감소폭이 기판 전달 모드의 향상을 능가하여 최종 외부 양자효율의 증가가 제한된다.</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2(c)에서 볼 수 있듯이 기판에서 소자 방향으로 입사하는 빛에 대한 각도별, 파장별 round-trip 흡수는 하부 전극 구조에 따라 큰 차이를 보이며, 널리 쓰이는 Al 음극은 평균 15~25%, 더 낮은 n값을 갖는 Ag 전극은 평균 5~15%의 흡수를 보인다. 반사도뿐 아니라 기판에 도달한 빛의 각도 분포와 되돌아오는 빛의 각도 분포도 중요하므로, 같은 전극이라도 기생 흡수를 최소화하는 방향의 설계가 중요하다. Poynting vector 기반의 분석으로 반사 전극의 ohmic 손실과 TCO의 광 손실을 정량화한 결과는 그림 2(d)와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[[각 발광체의 박막 PLQY와 배향 인자, 사용한 광학상수의 출처]]</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