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CLIENT INTRODUCTION CALL SCRIPT</w:t>
      </w:r>
    </w:p>
    <w:p>
      <w:pPr>
        <w:pStyle w:val="DocSub"/>
      </w:pPr>
      <w:r>
        <w:t xml:space="preserve">Stay Booked Marketing LLC — Trevor Mayberry &amp; Jordan Vo</w:t>
      </w:r>
    </w:p>
    <w:p>
      <w:pPr>
        <w:pStyle w:val="Quiet"/>
      </w:pPr>
      <w:r>
        <w:t xml:space="preserve">Internal use only. Do not send to prospects. Indented italic lines are said out loud; everything else is direction. Target call length: 20 to 25 minutes.</w:t>
      </w:r>
    </w:p>
    <w:p>
      <w:pPr>
        <w:pStyle w:val="SectionHead"/>
      </w:pPr>
      <w:r>
        <w:t xml:space="preserve">How to run this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F2F0EC" w:color="auto" w:val="clear"/>
            <w:tcMar>
              <w:top w:type="dxa" w:w="110"/>
              <w:left w:type="dxa" w:w="140"/>
              <w:bottom w:type="dxa" w:w="110"/>
              <w:right w:type="dxa" w:w="140"/>
            </w:tcMar>
          </w:tcPr>
          <w:p>
            <w:pPr>
              <w:spacing w:after="0"/>
            </w:pPr>
            <w:r>
              <w:rPr>
                <w:b/>
                <w:bCs/>
                <w:sz w:val="20"/>
                <w:szCs w:val="20"/>
              </w:rPr>
              <w:t xml:space="preserve">Who</w:t>
            </w:r>
          </w:p>
        </w:tc>
        <w:tc>
          <w:tcPr>
            <w:tcW w:type="dxa" w:w="7301"/>
            <w:shd w:fill="F2F0EC" w:color="auto" w:val="clear"/>
            <w:tcMar>
              <w:top w:type="dxa" w:w="110"/>
              <w:left w:type="dxa" w:w="140"/>
              <w:bottom w:type="dxa" w:w="110"/>
              <w:right w:type="dxa" w:w="140"/>
            </w:tcMar>
          </w:tcPr>
          <w:p>
            <w:pPr>
              <w:spacing w:after="0"/>
            </w:pPr>
            <w:r>
              <w:rPr>
                <w:b/>
                <w:bCs/>
                <w:sz w:val="20"/>
                <w:szCs w:val="20"/>
              </w:rPr>
              <w:t xml:space="preserve">Role on the call</w:t>
            </w:r>
          </w:p>
        </w:tc>
      </w:tr>
      <w:tr>
        <w:tc>
          <w:tcPr>
            <w:tcW w:type="dxa" w:w="2059"/>
            <w:tcMar>
              <w:top w:type="dxa" w:w="110"/>
              <w:left w:type="dxa" w:w="140"/>
              <w:bottom w:type="dxa" w:w="110"/>
              <w:right w:type="dxa" w:w="140"/>
            </w:tcMar>
          </w:tcPr>
          <w:p>
            <w:pPr>
              <w:spacing w:after="0"/>
            </w:pPr>
            <w:r>
              <w:rPr>
                <w:b w:val="false"/>
                <w:bCs w:val="false"/>
                <w:sz w:val="20"/>
                <w:szCs w:val="20"/>
              </w:rPr>
              <w:t xml:space="preserve">Trevor (CEO)</w:t>
            </w:r>
          </w:p>
        </w:tc>
        <w:tc>
          <w:tcPr>
            <w:tcW w:type="dxa" w:w="7301"/>
            <w:tcMar>
              <w:top w:type="dxa" w:w="110"/>
              <w:left w:type="dxa" w:w="140"/>
              <w:bottom w:type="dxa" w:w="110"/>
              <w:right w:type="dxa" w:w="140"/>
            </w:tcMar>
          </w:tcPr>
          <w:p>
            <w:pPr>
              <w:spacing w:after="0"/>
            </w:pPr>
            <w:r>
              <w:rPr>
                <w:b w:val="false"/>
                <w:bCs w:val="false"/>
                <w:sz w:val="20"/>
                <w:szCs w:val="20"/>
              </w:rPr>
              <w:t xml:space="preserve">Opens the call, runs discovery, presents the offer, handles objections, and closes. Owns the ask.</w:t>
            </w:r>
          </w:p>
        </w:tc>
      </w:tr>
      <w:tr>
        <w:tc>
          <w:tcPr>
            <w:tcW w:type="dxa" w:w="2059"/>
            <w:tcMar>
              <w:top w:type="dxa" w:w="110"/>
              <w:left w:type="dxa" w:w="140"/>
              <w:bottom w:type="dxa" w:w="110"/>
              <w:right w:type="dxa" w:w="140"/>
            </w:tcMar>
          </w:tcPr>
          <w:p>
            <w:pPr>
              <w:spacing w:after="0"/>
            </w:pPr>
            <w:r>
              <w:rPr>
                <w:b w:val="false"/>
                <w:bCs w:val="false"/>
                <w:sz w:val="20"/>
                <w:szCs w:val="20"/>
              </w:rPr>
              <w:t xml:space="preserve">Jordan (CRO)</w:t>
            </w:r>
          </w:p>
        </w:tc>
        <w:tc>
          <w:tcPr>
            <w:tcW w:type="dxa" w:w="7301"/>
            <w:tcMar>
              <w:top w:type="dxa" w:w="110"/>
              <w:left w:type="dxa" w:w="140"/>
              <w:bottom w:type="dxa" w:w="110"/>
              <w:right w:type="dxa" w:w="140"/>
            </w:tcMar>
          </w:tcPr>
          <w:p>
            <w:pPr>
              <w:spacing w:after="0"/>
            </w:pPr>
            <w:r>
              <w:rPr>
                <w:b w:val="false"/>
                <w:bCs w:val="false"/>
                <w:sz w:val="20"/>
                <w:szCs w:val="20"/>
              </w:rPr>
              <w:t xml:space="preserve">Joins for the last five minutes. Introduced as the person who runs the relationship after signing. Confirms onboarding and the first-week plan. Never negotiates price.</w:t>
            </w:r>
          </w:p>
        </w:tc>
      </w:tr>
      <w:tr>
        <w:tc>
          <w:tcPr>
            <w:tcW w:type="dxa" w:w="2059"/>
            <w:tcMar>
              <w:top w:type="dxa" w:w="110"/>
              <w:left w:type="dxa" w:w="140"/>
              <w:bottom w:type="dxa" w:w="110"/>
              <w:right w:type="dxa" w:w="140"/>
            </w:tcMar>
          </w:tcPr>
          <w:p>
            <w:pPr>
              <w:spacing w:after="0"/>
            </w:pPr>
            <w:r>
              <w:rPr>
                <w:b w:val="false"/>
                <w:bCs w:val="false"/>
                <w:sz w:val="20"/>
                <w:szCs w:val="20"/>
              </w:rPr>
              <w:t xml:space="preserve">Both</w:t>
            </w:r>
          </w:p>
        </w:tc>
        <w:tc>
          <w:tcPr>
            <w:tcW w:type="dxa" w:w="7301"/>
            <w:tcMar>
              <w:top w:type="dxa" w:w="110"/>
              <w:left w:type="dxa" w:w="140"/>
              <w:bottom w:type="dxa" w:w="110"/>
              <w:right w:type="dxa" w:w="140"/>
            </w:tcMar>
          </w:tcPr>
          <w:p>
            <w:pPr>
              <w:spacing w:after="0"/>
            </w:pPr>
            <w:r>
              <w:rPr>
                <w:b w:val="false"/>
                <w:bCs w:val="false"/>
                <w:sz w:val="20"/>
                <w:szCs w:val="20"/>
              </w:rPr>
              <w:t xml:space="preserve">Never guarantee results. Never give legal, clinical, or compliance advice. See the last page.</w:t>
            </w:r>
          </w:p>
        </w:tc>
      </w:tr>
    </w:tbl>
    <w:p>
      <w:pPr>
        <w:pStyle w:val="SectionHead"/>
      </w:pPr>
      <w:r>
        <w:t xml:space="preserve">Part 1 — Two minutes before you dial</w:t>
      </w:r>
    </w:p>
    <w:p>
      <w:pPr>
        <w:pStyle w:val="ListParagraph"/>
        <w:numPr>
          <w:ilvl w:val="0"/>
          <w:numId w:val="2"/>
        </w:numPr>
      </w:pPr>
      <w:r>
        <w:t xml:space="preserve">Know their practice: name, city, service lines, and whether they are solo or a small group.</w:t>
      </w:r>
    </w:p>
    <w:p>
      <w:pPr>
        <w:pStyle w:val="ListParagraph"/>
        <w:numPr>
          <w:ilvl w:val="0"/>
          <w:numId w:val="2"/>
        </w:numPr>
      </w:pPr>
      <w:r>
        <w:t xml:space="preserve">Pull up their website and their competitors’ ads in the Meta Ad Library. If a competitor is running ads, say so on the call — it lands every time.</w:t>
      </w:r>
    </w:p>
    <w:p>
      <w:pPr>
        <w:pStyle w:val="ListParagraph"/>
        <w:numPr>
          <w:ilvl w:val="0"/>
          <w:numId w:val="2"/>
        </w:numPr>
      </w:pPr>
      <w:r>
        <w:t xml:space="preserve">Know your one number: what a new patient is plausibly worth to them, so you can do the math live.</w:t>
      </w:r>
    </w:p>
    <w:p>
      <w:pPr>
        <w:pStyle w:val="ListParagraph"/>
        <w:numPr>
          <w:ilvl w:val="0"/>
          <w:numId w:val="2"/>
        </w:numPr>
      </w:pPr>
      <w:r>
        <w:t xml:space="preserve">Have the Agreement, the SOW, and the calendar link open. If they say yes, you send in the next ten minutes, not tomorrow.</w:t>
      </w:r>
    </w:p>
    <w:p>
      <w:pPr>
        <w:pStyle w:val="SectionHead"/>
      </w:pPr>
      <w:r>
        <w:t xml:space="preserve">Part 2 — The opening (first 60 seconds)</w:t>
      </w:r>
    </w:p>
    <w:p>
      <w:pPr>
        <w:pBdr>
          <w:left w:val="single" w:color="C9C2B6" w:sz="12" w:space="12"/>
        </w:pBdr>
        <w:spacing w:after="140"/>
        <w:ind w:left="300"/>
      </w:pPr>
      <w:r>
        <w:rPr>
          <w:i/>
          <w:iCs/>
        </w:rPr>
        <w:t xml:space="preserve">Hey [Name], Trevor with Stay Booked Marketing — thanks for making the time. Before I take up your day, I want to be upfront about how I run these: I am going to ask you a handful of questions about the practice for about ten minutes, and then if what we do is a fit, I will show you exactly what it looks like and what it costs. If it is not a fit, I will tell you that too and we will both get our afternoon back. Fair?</w:t>
      </w:r>
    </w:p>
    <w:p>
      <w:pPr>
        <w:spacing w:after="160"/>
      </w:pPr>
      <w:r>
        <w:rPr>
          <w:color w:val="5A5A5A"/>
          <w:sz w:val="19"/>
          <w:szCs w:val="19"/>
        </w:rPr>
        <w:t xml:space="preserve">Wait for the yes. That yes is the whole frame of the call — it buys you the right to ask real questions and it earns you the right to ask for the business at the end.</w:t>
      </w:r>
    </w:p>
    <w:p>
      <w:pPr>
        <w:pBdr>
          <w:left w:val="single" w:color="C9C2B6" w:sz="12" w:space="12"/>
        </w:pBdr>
        <w:spacing w:after="140"/>
        <w:ind w:left="300"/>
      </w:pPr>
      <w:r>
        <w:rPr>
          <w:i/>
          <w:iCs/>
        </w:rPr>
        <w:t xml:space="preserve">One thing so you know who you are talking to: we work almost entirely with nurse practitioners and small independent practices. That is deliberate. Most agencies will run the same restaurant playbook on a medical practice and hand you a compliance problem. Everything we build gets reviewed against the advertising rules for your license type and your state before it ever goes live.</w:t>
      </w:r>
    </w:p>
    <w:p>
      <w:pPr>
        <w:pStyle w:val="SectionHead"/>
      </w:pPr>
      <w:r>
        <w:t xml:space="preserve">Part 3 — Discovery (ten minutes, and the most valuable part of the call)</w:t>
      </w:r>
    </w:p>
    <w:p>
      <w:pPr>
        <w:spacing w:after="160"/>
      </w:pPr>
      <w:r>
        <w:rPr>
          <w:color w:val="5A5A5A"/>
          <w:sz w:val="19"/>
          <w:szCs w:val="19"/>
        </w:rPr>
        <w:t xml:space="preserve">Ask these in order. Shut up after each one. The goal is that they say the problem out loud before you ever pitch — people believe what they hear themselves say.</w:t>
      </w:r>
    </w:p>
    <w:p>
      <w:pPr>
        <w:pStyle w:val="SubHead"/>
      </w:pPr>
      <w:r>
        <w:t xml:space="preserve">Their business today</w:t>
      </w:r>
    </w:p>
    <w:p>
      <w:pPr>
        <w:pStyle w:val="ListParagraph"/>
        <w:numPr>
          <w:ilvl w:val="0"/>
          <w:numId w:val="2"/>
        </w:numPr>
      </w:pPr>
      <w:r>
        <w:t xml:space="preserve">Tell me about the practice — what do you do, and who is the patient you want more of?</w:t>
      </w:r>
    </w:p>
    <w:p>
      <w:pPr>
        <w:pStyle w:val="ListParagraph"/>
        <w:numPr>
          <w:ilvl w:val="0"/>
          <w:numId w:val="2"/>
        </w:numPr>
      </w:pPr>
      <w:r>
        <w:t xml:space="preserve">How are new patients finding you right now?</w:t>
      </w:r>
    </w:p>
    <w:p>
      <w:pPr>
        <w:pStyle w:val="ListParagraph"/>
        <w:numPr>
          <w:ilvl w:val="0"/>
          <w:numId w:val="2"/>
        </w:numPr>
      </w:pPr>
      <w:r>
        <w:t xml:space="preserve">Have you run paid ads before? What happened?</w:t>
      </w:r>
    </w:p>
    <w:p>
      <w:pPr>
        <w:pStyle w:val="ListParagraph"/>
        <w:numPr>
          <w:ilvl w:val="0"/>
          <w:numId w:val="2"/>
        </w:numPr>
      </w:pPr>
      <w:r>
        <w:t xml:space="preserve">Who handles the phone and the inbox when an inquiry comes in?</w:t>
      </w:r>
    </w:p>
    <w:p>
      <w:pPr>
        <w:pStyle w:val="SubHead"/>
      </w:pPr>
      <w:r>
        <w:t xml:space="preserve">The economics — do not skip these</w:t>
      </w:r>
    </w:p>
    <w:p>
      <w:pPr>
        <w:pStyle w:val="ListParagraph"/>
        <w:numPr>
          <w:ilvl w:val="0"/>
          <w:numId w:val="2"/>
        </w:numPr>
      </w:pPr>
      <w:r>
        <w:t xml:space="preserve">What is a new patient worth to you, roughly, over the first year?</w:t>
      </w:r>
    </w:p>
    <w:p>
      <w:pPr>
        <w:pStyle w:val="ListParagraph"/>
        <w:numPr>
          <w:ilvl w:val="0"/>
          <w:numId w:val="2"/>
        </w:numPr>
      </w:pPr>
      <w:r>
        <w:t xml:space="preserve">How many new patients a month could you actually take on right now without breaking anything?</w:t>
      </w:r>
    </w:p>
    <w:p>
      <w:pPr>
        <w:pStyle w:val="ListParagraph"/>
        <w:numPr>
          <w:ilvl w:val="0"/>
          <w:numId w:val="2"/>
        </w:numPr>
      </w:pPr>
      <w:r>
        <w:t xml:space="preserve">What does an empty slot on the schedule cost you?</w:t>
      </w:r>
    </w:p>
    <w:p>
      <w:pPr>
        <w:spacing w:after="160"/>
      </w:pPr>
      <w:r>
        <w:rPr>
          <w:color w:val="5A5A5A"/>
          <w:sz w:val="19"/>
          <w:szCs w:val="19"/>
        </w:rPr>
        <w:t xml:space="preserve">Write the numbers down and say them back later. If a patient is worth $1,200 and they can take fifteen more a month, the offer prices itself and you never have to argue about $2,000.</w:t>
      </w:r>
    </w:p>
    <w:p>
      <w:pPr>
        <w:pStyle w:val="SubHead"/>
      </w:pPr>
      <w:r>
        <w:t xml:space="preserve">The pain</w:t>
      </w:r>
    </w:p>
    <w:p>
      <w:pPr>
        <w:pStyle w:val="ListParagraph"/>
        <w:numPr>
          <w:ilvl w:val="0"/>
          <w:numId w:val="2"/>
        </w:numPr>
      </w:pPr>
      <w:r>
        <w:t xml:space="preserve">When an inquiry comes in at 7pm on a Friday, what happens to it?</w:t>
      </w:r>
    </w:p>
    <w:p>
      <w:pPr>
        <w:pStyle w:val="ListParagraph"/>
        <w:numPr>
          <w:ilvl w:val="0"/>
          <w:numId w:val="2"/>
        </w:numPr>
      </w:pPr>
      <w:r>
        <w:t xml:space="preserve">How fast does someone actually get back to them?</w:t>
      </w:r>
    </w:p>
    <w:p>
      <w:pPr>
        <w:pStyle w:val="ListParagraph"/>
        <w:numPr>
          <w:ilvl w:val="0"/>
          <w:numId w:val="2"/>
        </w:numPr>
      </w:pPr>
      <w:r>
        <w:t xml:space="preserve">What percentage of the people who reach out end up sitting in your chair?</w:t>
      </w:r>
    </w:p>
    <w:p>
      <w:pPr>
        <w:pStyle w:val="ListParagraph"/>
        <w:numPr>
          <w:ilvl w:val="0"/>
          <w:numId w:val="2"/>
        </w:numPr>
      </w:pPr>
      <w:r>
        <w:t xml:space="preserve">What have you tried that did not work, and what did that cost you?</w:t>
      </w:r>
    </w:p>
    <w:p>
      <w:pPr>
        <w:pStyle w:val="SubHead"/>
      </w:pPr>
      <w:r>
        <w:t xml:space="preserve">The bar</w:t>
      </w:r>
    </w:p>
    <w:p>
      <w:pPr>
        <w:pStyle w:val="ListParagraph"/>
        <w:numPr>
          <w:ilvl w:val="0"/>
          <w:numId w:val="2"/>
        </w:numPr>
      </w:pPr>
      <w:r>
        <w:t xml:space="preserve">If we are sitting here six months from now and this worked — what happened?</w:t>
      </w:r>
    </w:p>
    <w:p>
      <w:pPr>
        <w:pStyle w:val="ListParagraph"/>
        <w:numPr>
          <w:ilvl w:val="0"/>
          <w:numId w:val="2"/>
        </w:numPr>
      </w:pPr>
      <w:r>
        <w:t xml:space="preserve">Is there anyone else involved in a decision like this?</w:t>
      </w:r>
    </w:p>
    <w:p>
      <w:pPr>
        <w:spacing w:after="160"/>
      </w:pPr>
      <w:r>
        <w:rPr>
          <w:color w:val="5A5A5A"/>
          <w:sz w:val="19"/>
          <w:szCs w:val="19"/>
        </w:rPr>
        <w:t xml:space="preserve">That last question saves you a second call. Ask it before you pitch, not after.</w:t>
      </w:r>
    </w:p>
    <w:p>
      <w:pPr>
        <w:pStyle w:val="SectionHead"/>
      </w:pPr>
      <w:r>
        <w:t xml:space="preserve">Part 4 — The bridge into what we do (90 seconds, not five minutes)</w:t>
      </w:r>
    </w:p>
    <w:p>
      <w:pPr>
        <w:pBdr>
          <w:left w:val="single" w:color="C9C2B6" w:sz="12" w:space="12"/>
        </w:pBdr>
        <w:spacing w:after="140"/>
        <w:ind w:left="300"/>
      </w:pPr>
      <w:r>
        <w:rPr>
          <w:i/>
          <w:iCs/>
        </w:rPr>
        <w:t xml:space="preserve">Here is what I am hearing: you are getting some interest, but leads are landing in an inbox on a Friday night and by Monday they have already booked somewhere else. That gap between when someone raises their hand and when someone talks to them is where almost all the money leaks out. That is the exact problem we built our system around.</w:t>
      </w:r>
    </w:p>
    <w:p>
      <w:pPr>
        <w:pBdr>
          <w:left w:val="single" w:color="C9C2B6" w:sz="12" w:space="12"/>
        </w:pBdr>
        <w:spacing w:after="140"/>
        <w:ind w:left="300"/>
      </w:pPr>
      <w:r>
        <w:rPr>
          <w:i/>
          <w:iCs/>
        </w:rPr>
        <w:t xml:space="preserve">Three parts. One: we run targeted ads that put your practice in front of local patients who are actively looking for what you do — not people scrolling for entertainment. Two: the moment someone raises their hand, they get contacted and screened automatically, in your name, within seconds. Not an hour. Seconds. And we keep following up so nobody falls through the cracks. Three: the ones who are qualified and actually want care get booked onto your calendar. You open your schedule and there are real appointments there.</w:t>
      </w:r>
    </w:p>
    <w:p>
      <w:pPr>
        <w:pBdr>
          <w:left w:val="single" w:color="C9C2B6" w:sz="12" w:space="12"/>
        </w:pBdr>
        <w:spacing w:after="140"/>
        <w:ind w:left="300"/>
      </w:pPr>
      <w:r>
        <w:rPr>
          <w:i/>
          <w:iCs/>
        </w:rPr>
        <w:t xml:space="preserve">Your job in that whole chain is one thing: show up and take great care of them. Everything before that is ours.</w:t>
      </w:r>
    </w:p>
    <w:p>
      <w:pPr>
        <w:spacing w:after="160"/>
      </w:pPr>
      <w:r>
        <w:rPr>
          <w:color w:val="5A5A5A"/>
          <w:sz w:val="19"/>
          <w:szCs w:val="19"/>
        </w:rPr>
        <w:t xml:space="preserve">If they are quiet here, ask: “Where does that break down against how it works for you today?” Let them find the gap themselves.</w:t>
      </w:r>
    </w:p>
    <w:p>
      <w:pPr>
        <w:pStyle w:val="SectionHead"/>
      </w:pPr>
      <w:r>
        <w:t xml:space="preserve">Part 5 — The offer</w:t>
      </w:r>
    </w:p>
    <w:p>
      <w:pPr>
        <w:pBdr>
          <w:left w:val="single" w:color="C9C2B6" w:sz="12" w:space="12"/>
        </w:pBdr>
        <w:spacing w:after="140"/>
        <w:ind w:left="300"/>
      </w:pPr>
      <w:r>
        <w:rPr>
          <w:i/>
          <w:iCs/>
        </w:rPr>
        <w:t xml:space="preserve">It is two thousand a month, flat. No setup fee, no build fee, no percentage of your revenue. Separately from that, you fund the ad spend directly to Meta or Google on your own card, so you see every dollar and you control that budget — we never touch your money, and we never mark it up.</w:t>
      </w:r>
    </w:p>
    <w:p>
      <w:pPr>
        <w:pBdr>
          <w:left w:val="single" w:color="C9C2B6" w:sz="12" w:space="12"/>
        </w:pBdr>
        <w:spacing w:after="140"/>
        <w:ind w:left="300"/>
      </w:pPr>
      <w:r>
        <w:rPr>
          <w:i/>
          <w:iCs/>
        </w:rPr>
        <w:t xml:space="preserve">We ask for three months to start. Not to trap you — because the first few weeks are learning, and it takes about that long before what we are seeing is a real read instead of noise. After that you are month to month, thirty days notice, cancel whenever it stops making sense.</w:t>
      </w:r>
    </w:p>
    <w:p>
      <w:pPr>
        <w:spacing w:after="160"/>
      </w:pPr>
      <w:r>
        <w:rPr>
          <w:color w:val="5A5A5A"/>
          <w:sz w:val="19"/>
          <w:szCs w:val="19"/>
        </w:rPr>
        <w:t xml:space="preserve">Then do their math out loud, using the numbers they gave you:</w:t>
      </w:r>
    </w:p>
    <w:p>
      <w:pPr>
        <w:pBdr>
          <w:left w:val="single" w:color="C9C2B6" w:sz="12" w:space="12"/>
        </w:pBdr>
        <w:spacing w:after="140"/>
        <w:ind w:left="300"/>
      </w:pPr>
      <w:r>
        <w:rPr>
          <w:i/>
          <w:iCs/>
        </w:rPr>
        <w:t xml:space="preserve">You told me a patient is worth about [$X] to you in the first year. So at two thousand a month, this pays for itself at roughly [N] patients. Everything past that is yours. Does that math work the way it works in my head?</w:t>
      </w:r>
    </w:p>
    <w:p>
      <w:pPr>
        <w:spacing w:after="160"/>
      </w:pPr>
      <w:r>
        <w:rPr>
          <w:color w:val="5A5A5A"/>
          <w:sz w:val="19"/>
          <w:szCs w:val="19"/>
        </w:rPr>
        <w:t xml:space="preserve">Silence. Do not fill it. The next person to talk sets the terms.</w:t>
      </w:r>
    </w:p>
    <w:p>
      <w:pPr>
        <w:pageBreakBefore/>
      </w:pPr>
    </w:p>
    <w:p>
      <w:pPr>
        <w:pStyle w:val="SectionHead"/>
      </w:pPr>
      <w:r>
        <w:t xml:space="preserve">Part 6 — Objections, word for 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F2F0EC" w:color="auto" w:val="clear"/>
            <w:tcMar>
              <w:top w:type="dxa" w:w="110"/>
              <w:left w:type="dxa" w:w="140"/>
              <w:bottom w:type="dxa" w:w="110"/>
              <w:right w:type="dxa" w:w="140"/>
            </w:tcMar>
          </w:tcPr>
          <w:p>
            <w:pPr>
              <w:spacing w:after="0"/>
            </w:pPr>
            <w:r>
              <w:rPr>
                <w:b/>
                <w:bCs/>
                <w:sz w:val="20"/>
                <w:szCs w:val="20"/>
              </w:rPr>
              <w:t xml:space="preserve">What they say</w:t>
            </w:r>
          </w:p>
        </w:tc>
        <w:tc>
          <w:tcPr>
            <w:tcW w:type="dxa" w:w="6552"/>
            <w:shd w:fill="F2F0EC" w:color="auto" w:val="clear"/>
            <w:tcMar>
              <w:top w:type="dxa" w:w="110"/>
              <w:left w:type="dxa" w:w="140"/>
              <w:bottom w:type="dxa" w:w="110"/>
              <w:right w:type="dxa" w:w="140"/>
            </w:tcMar>
          </w:tcPr>
          <w:p>
            <w:pPr>
              <w:spacing w:after="0"/>
            </w:pPr>
            <w:r>
              <w:rPr>
                <w:b/>
                <w:bCs/>
                <w:sz w:val="20"/>
                <w:szCs w:val="20"/>
              </w:rPr>
              <w:t xml:space="preserve">What you say</w:t>
            </w:r>
          </w:p>
        </w:tc>
      </w:tr>
      <w:tr>
        <w:tc>
          <w:tcPr>
            <w:tcW w:type="dxa" w:w="2808"/>
            <w:tcMar>
              <w:top w:type="dxa" w:w="110"/>
              <w:left w:type="dxa" w:w="140"/>
              <w:bottom w:type="dxa" w:w="110"/>
              <w:right w:type="dxa" w:w="140"/>
            </w:tcMar>
          </w:tcPr>
          <w:p>
            <w:pPr>
              <w:spacing w:after="0"/>
            </w:pPr>
            <w:r>
              <w:rPr>
                <w:b w:val="false"/>
                <w:bCs w:val="false"/>
                <w:sz w:val="20"/>
                <w:szCs w:val="20"/>
              </w:rPr>
              <w:t xml:space="preserve">“It’s too expensive.”</w:t>
            </w:r>
          </w:p>
        </w:tc>
        <w:tc>
          <w:tcPr>
            <w:tcW w:type="dxa" w:w="6552"/>
            <w:tcMar>
              <w:top w:type="dxa" w:w="110"/>
              <w:left w:type="dxa" w:w="140"/>
              <w:bottom w:type="dxa" w:w="110"/>
              <w:right w:type="dxa" w:w="140"/>
            </w:tcMar>
          </w:tcPr>
          <w:p>
            <w:pPr>
              <w:spacing w:after="0"/>
            </w:pPr>
            <w:r>
              <w:rPr>
                <w:b w:val="false"/>
                <w:bCs w:val="false"/>
                <w:sz w:val="20"/>
                <w:szCs w:val="20"/>
              </w:rPr>
              <w:t xml:space="preserve">I hear you. Let me ask it a different way — you said a patient is worth about [$X]. So the question is not whether two thousand is a lot of money, it is whether we can get you [N] patients a month. If we can, this is the cheapest thing on your P&amp;L. If we cannot, you should fire us in ninety days and I would tell you to.</w:t>
            </w:r>
          </w:p>
        </w:tc>
      </w:tr>
      <w:tr>
        <w:tc>
          <w:tcPr>
            <w:tcW w:type="dxa" w:w="2808"/>
            <w:tcMar>
              <w:top w:type="dxa" w:w="110"/>
              <w:left w:type="dxa" w:w="140"/>
              <w:bottom w:type="dxa" w:w="110"/>
              <w:right w:type="dxa" w:w="140"/>
            </w:tcMar>
          </w:tcPr>
          <w:p>
            <w:pPr>
              <w:spacing w:after="0"/>
            </w:pPr>
            <w:r>
              <w:rPr>
                <w:b w:val="false"/>
                <w:bCs w:val="false"/>
                <w:sz w:val="20"/>
                <w:szCs w:val="20"/>
              </w:rPr>
              <w:t xml:space="preserve">“Can you guarantee results?”</w:t>
            </w:r>
          </w:p>
        </w:tc>
        <w:tc>
          <w:tcPr>
            <w:tcW w:type="dxa" w:w="6552"/>
            <w:tcMar>
              <w:top w:type="dxa" w:w="110"/>
              <w:left w:type="dxa" w:w="140"/>
              <w:bottom w:type="dxa" w:w="110"/>
              <w:right w:type="dxa" w:w="140"/>
            </w:tcMar>
          </w:tcPr>
          <w:p>
            <w:pPr>
              <w:spacing w:after="0"/>
            </w:pPr>
            <w:r>
              <w:rPr>
                <w:b w:val="false"/>
                <w:bCs w:val="false"/>
                <w:sz w:val="20"/>
                <w:szCs w:val="20"/>
              </w:rPr>
              <w:t xml:space="preserve">No, and I would not trust anyone who does. Too much of it depends on your market, your pricing, and honestly how fast your team follows up. What I will commit to is that we build it right, we watch it every week, and you see every number every month — including the ugly ones. If it is not working, you will hear it from me before you have to ask.</w:t>
            </w:r>
          </w:p>
        </w:tc>
      </w:tr>
      <w:tr>
        <w:tc>
          <w:tcPr>
            <w:tcW w:type="dxa" w:w="2808"/>
            <w:tcMar>
              <w:top w:type="dxa" w:w="110"/>
              <w:left w:type="dxa" w:w="140"/>
              <w:bottom w:type="dxa" w:w="110"/>
              <w:right w:type="dxa" w:w="140"/>
            </w:tcMar>
          </w:tcPr>
          <w:p>
            <w:pPr>
              <w:spacing w:after="0"/>
            </w:pPr>
            <w:r>
              <w:rPr>
                <w:b w:val="false"/>
                <w:bCs w:val="false"/>
                <w:sz w:val="20"/>
                <w:szCs w:val="20"/>
              </w:rPr>
              <w:t xml:space="preserve">“I tried an agency before and it didn’t work.”</w:t>
            </w:r>
          </w:p>
        </w:tc>
        <w:tc>
          <w:tcPr>
            <w:tcW w:type="dxa" w:w="6552"/>
            <w:tcMar>
              <w:top w:type="dxa" w:w="110"/>
              <w:left w:type="dxa" w:w="140"/>
              <w:bottom w:type="dxa" w:w="110"/>
              <w:right w:type="dxa" w:w="140"/>
            </w:tcMar>
          </w:tcPr>
          <w:p>
            <w:pPr>
              <w:spacing w:after="0"/>
            </w:pPr>
            <w:r>
              <w:rPr>
                <w:b w:val="false"/>
                <w:bCs w:val="false"/>
                <w:sz w:val="20"/>
                <w:szCs w:val="20"/>
              </w:rPr>
              <w:t xml:space="preserve">What happened? … Yeah, that is the usual story: they ran ads, sent you a spreadsheet, and nobody ever actually talked to the people who raised their hand. Ads are the easy half. The half nobody does is contacting and screening every single inquiry in seconds and getting them on your calendar. That is the part we actually built.</w:t>
            </w:r>
          </w:p>
        </w:tc>
      </w:tr>
      <w:tr>
        <w:tc>
          <w:tcPr>
            <w:tcW w:type="dxa" w:w="2808"/>
            <w:tcMar>
              <w:top w:type="dxa" w:w="110"/>
              <w:left w:type="dxa" w:w="140"/>
              <w:bottom w:type="dxa" w:w="110"/>
              <w:right w:type="dxa" w:w="140"/>
            </w:tcMar>
          </w:tcPr>
          <w:p>
            <w:pPr>
              <w:spacing w:after="0"/>
            </w:pPr>
            <w:r>
              <w:rPr>
                <w:b w:val="false"/>
                <w:bCs w:val="false"/>
                <w:sz w:val="20"/>
                <w:szCs w:val="20"/>
              </w:rPr>
              <w:t xml:space="preserve">“I need to think about it.”</w:t>
            </w:r>
          </w:p>
        </w:tc>
        <w:tc>
          <w:tcPr>
            <w:tcW w:type="dxa" w:w="6552"/>
            <w:tcMar>
              <w:top w:type="dxa" w:w="110"/>
              <w:left w:type="dxa" w:w="140"/>
              <w:bottom w:type="dxa" w:w="110"/>
              <w:right w:type="dxa" w:w="140"/>
            </w:tcMar>
          </w:tcPr>
          <w:p>
            <w:pPr>
              <w:spacing w:after="0"/>
            </w:pPr>
            <w:r>
              <w:rPr>
                <w:b w:val="false"/>
                <w:bCs w:val="false"/>
                <w:sz w:val="20"/>
                <w:szCs w:val="20"/>
              </w:rPr>
              <w:t xml:space="preserve">Totally fair — what specifically do you want to think through? … [Answer it.] … If we solved that, is there anything else standing between you and starting?</w:t>
            </w:r>
          </w:p>
        </w:tc>
      </w:tr>
      <w:tr>
        <w:tc>
          <w:tcPr>
            <w:tcW w:type="dxa" w:w="2808"/>
            <w:tcMar>
              <w:top w:type="dxa" w:w="110"/>
              <w:left w:type="dxa" w:w="140"/>
              <w:bottom w:type="dxa" w:w="110"/>
              <w:right w:type="dxa" w:w="140"/>
            </w:tcMar>
          </w:tcPr>
          <w:p>
            <w:pPr>
              <w:spacing w:after="0"/>
            </w:pPr>
            <w:r>
              <w:rPr>
                <w:b w:val="false"/>
                <w:bCs w:val="false"/>
                <w:sz w:val="20"/>
                <w:szCs w:val="20"/>
              </w:rPr>
              <w:t xml:space="preserve">“I need to talk to my partner / my collaborating physician.”</w:t>
            </w:r>
          </w:p>
        </w:tc>
        <w:tc>
          <w:tcPr>
            <w:tcW w:type="dxa" w:w="6552"/>
            <w:tcMar>
              <w:top w:type="dxa" w:w="110"/>
              <w:left w:type="dxa" w:w="140"/>
              <w:bottom w:type="dxa" w:w="110"/>
              <w:right w:type="dxa" w:w="140"/>
            </w:tcMar>
          </w:tcPr>
          <w:p>
            <w:pPr>
              <w:spacing w:after="0"/>
            </w:pPr>
            <w:r>
              <w:rPr>
                <w:b w:val="false"/>
                <w:bCs w:val="false"/>
                <w:sz w:val="20"/>
                <w:szCs w:val="20"/>
              </w:rPr>
              <w:t xml:space="preserve">Makes sense. Let’s get them on a fifteen-minute call this week so they can ask me directly instead of getting it secondhand — what does Thursday look like for the two of you?</w:t>
            </w:r>
          </w:p>
        </w:tc>
      </w:tr>
      <w:tr>
        <w:tc>
          <w:tcPr>
            <w:tcW w:type="dxa" w:w="2808"/>
            <w:tcMar>
              <w:top w:type="dxa" w:w="110"/>
              <w:left w:type="dxa" w:w="140"/>
              <w:bottom w:type="dxa" w:w="110"/>
              <w:right w:type="dxa" w:w="140"/>
            </w:tcMar>
          </w:tcPr>
          <w:p>
            <w:pPr>
              <w:spacing w:after="0"/>
            </w:pPr>
            <w:r>
              <w:rPr>
                <w:b w:val="false"/>
                <w:bCs w:val="false"/>
                <w:sz w:val="20"/>
                <w:szCs w:val="20"/>
              </w:rPr>
              <w:t xml:space="preserve">“Do you understand HIPAA and the advertising rules?”</w:t>
            </w:r>
          </w:p>
        </w:tc>
        <w:tc>
          <w:tcPr>
            <w:tcW w:type="dxa" w:w="6552"/>
            <w:tcMar>
              <w:top w:type="dxa" w:w="110"/>
              <w:left w:type="dxa" w:w="140"/>
              <w:bottom w:type="dxa" w:w="110"/>
              <w:right w:type="dxa" w:w="140"/>
            </w:tcMar>
          </w:tcPr>
          <w:p>
            <w:pPr>
              <w:spacing w:after="0"/>
            </w:pPr>
            <w:r>
              <w:rPr>
                <w:b w:val="false"/>
                <w:bCs w:val="false"/>
                <w:sz w:val="20"/>
                <w:szCs w:val="20"/>
              </w:rPr>
              <w:t xml:space="preserve">Yes, and it is why we niched here. Your scope of practice, prescriptive authority, and any supervision disclosures your state requires are part of what we review before we write a word of copy. We are built to minimize touching patient health information at all, and where it is unavoidable we operate under a signed business associate agreement.</w:t>
            </w:r>
          </w:p>
        </w:tc>
      </w:tr>
      <w:tr>
        <w:tc>
          <w:tcPr>
            <w:tcW w:type="dxa" w:w="2808"/>
            <w:tcMar>
              <w:top w:type="dxa" w:w="110"/>
              <w:left w:type="dxa" w:w="140"/>
              <w:bottom w:type="dxa" w:w="110"/>
              <w:right w:type="dxa" w:w="140"/>
            </w:tcMar>
          </w:tcPr>
          <w:p>
            <w:pPr>
              <w:spacing w:after="0"/>
            </w:pPr>
            <w:r>
              <w:rPr>
                <w:b w:val="false"/>
                <w:bCs w:val="false"/>
                <w:sz w:val="20"/>
                <w:szCs w:val="20"/>
              </w:rPr>
              <w:t xml:space="preserve">“What if you make a mistake that creates a compliance problem for me?”</w:t>
            </w:r>
          </w:p>
        </w:tc>
        <w:tc>
          <w:tcPr>
            <w:tcW w:type="dxa" w:w="6552"/>
            <w:tcMar>
              <w:top w:type="dxa" w:w="110"/>
              <w:left w:type="dxa" w:w="140"/>
              <w:bottom w:type="dxa" w:w="110"/>
              <w:right w:type="dxa" w:w="140"/>
            </w:tcMar>
          </w:tcPr>
          <w:p>
            <w:pPr>
              <w:spacing w:after="0"/>
            </w:pPr>
            <w:r>
              <w:rPr>
                <w:b w:val="false"/>
                <w:bCs w:val="false"/>
                <w:sz w:val="20"/>
                <w:szCs w:val="20"/>
              </w:rPr>
              <w:t xml:space="preserve">Every piece of copy and every landing page gets a compliance review before it publishes — that step exists specifically to catch things before they become your problem. What I will always be straight about: we are a marketing company, not your attorney, and you are the final approver on any claim about your practice. That is written into the agreement, plainly, so there are no surprises later.</w:t>
            </w:r>
          </w:p>
        </w:tc>
      </w:tr>
      <w:tr>
        <w:tc>
          <w:tcPr>
            <w:tcW w:type="dxa" w:w="2808"/>
            <w:tcMar>
              <w:top w:type="dxa" w:w="110"/>
              <w:left w:type="dxa" w:w="140"/>
              <w:bottom w:type="dxa" w:w="110"/>
              <w:right w:type="dxa" w:w="140"/>
            </w:tcMar>
          </w:tcPr>
          <w:p>
            <w:pPr>
              <w:spacing w:after="0"/>
            </w:pPr>
            <w:r>
              <w:rPr>
                <w:b w:val="false"/>
                <w:bCs w:val="false"/>
                <w:sz w:val="20"/>
                <w:szCs w:val="20"/>
              </w:rPr>
              <w:t xml:space="preserve">“Can I start with a smaller budget?”</w:t>
            </w:r>
          </w:p>
        </w:tc>
        <w:tc>
          <w:tcPr>
            <w:tcW w:type="dxa" w:w="6552"/>
            <w:tcMar>
              <w:top w:type="dxa" w:w="110"/>
              <w:left w:type="dxa" w:w="140"/>
              <w:bottom w:type="dxa" w:w="110"/>
              <w:right w:type="dxa" w:w="140"/>
            </w:tcMar>
          </w:tcPr>
          <w:p>
            <w:pPr>
              <w:spacing w:after="0"/>
            </w:pPr>
            <w:r>
              <w:rPr>
                <w:b w:val="false"/>
                <w:bCs w:val="false"/>
                <w:sz w:val="20"/>
                <w:szCs w:val="20"/>
              </w:rPr>
              <w:t xml:space="preserve">We can start lean, but let me be honest about the floor — under a certain spend in your market the platform never gets enough data to learn, and you end up paying for a test that could never work. Let me show you what I would consider the minimum here and why.</w:t>
            </w:r>
          </w:p>
        </w:tc>
      </w:tr>
      <w:tr>
        <w:tc>
          <w:tcPr>
            <w:tcW w:type="dxa" w:w="2808"/>
            <w:tcMar>
              <w:top w:type="dxa" w:w="110"/>
              <w:left w:type="dxa" w:w="140"/>
              <w:bottom w:type="dxa" w:w="110"/>
              <w:right w:type="dxa" w:w="140"/>
            </w:tcMar>
          </w:tcPr>
          <w:p>
            <w:pPr>
              <w:spacing w:after="0"/>
            </w:pPr>
            <w:r>
              <w:rPr>
                <w:b w:val="false"/>
                <w:bCs w:val="false"/>
                <w:sz w:val="20"/>
                <w:szCs w:val="20"/>
              </w:rPr>
              <w:t xml:space="preserve">“Send me some information.”</w:t>
            </w:r>
          </w:p>
        </w:tc>
        <w:tc>
          <w:tcPr>
            <w:tcW w:type="dxa" w:w="6552"/>
            <w:tcMar>
              <w:top w:type="dxa" w:w="110"/>
              <w:left w:type="dxa" w:w="140"/>
              <w:bottom w:type="dxa" w:w="110"/>
              <w:right w:type="dxa" w:w="140"/>
            </w:tcMar>
          </w:tcPr>
          <w:p>
            <w:pPr>
              <w:spacing w:after="0"/>
            </w:pPr>
            <w:r>
              <w:rPr>
                <w:b w:val="false"/>
                <w:bCs w:val="false"/>
                <w:sz w:val="20"/>
                <w:szCs w:val="20"/>
              </w:rPr>
              <w:t xml:space="preserve">Happy to — I will send the agreement and the scope right after this. But information is not usually what decides it. What is the actual question you want answered before you would say yes?</w:t>
            </w:r>
          </w:p>
        </w:tc>
      </w:tr>
      <w:tr>
        <w:tc>
          <w:tcPr>
            <w:tcW w:type="dxa" w:w="2808"/>
            <w:tcMar>
              <w:top w:type="dxa" w:w="110"/>
              <w:left w:type="dxa" w:w="140"/>
              <w:bottom w:type="dxa" w:w="110"/>
              <w:right w:type="dxa" w:w="140"/>
            </w:tcMar>
          </w:tcPr>
          <w:p>
            <w:pPr>
              <w:spacing w:after="0"/>
            </w:pPr>
            <w:r>
              <w:rPr>
                <w:b w:val="false"/>
                <w:bCs w:val="false"/>
                <w:sz w:val="20"/>
                <w:szCs w:val="20"/>
              </w:rPr>
              <w:t xml:space="preserve">“How do I know you won’t disappear after I sign?”</w:t>
            </w:r>
          </w:p>
        </w:tc>
        <w:tc>
          <w:tcPr>
            <w:tcW w:type="dxa" w:w="6552"/>
            <w:tcMar>
              <w:top w:type="dxa" w:w="110"/>
              <w:left w:type="dxa" w:w="140"/>
              <w:bottom w:type="dxa" w:w="110"/>
              <w:right w:type="dxa" w:w="140"/>
            </w:tcMar>
          </w:tcPr>
          <w:p>
            <w:pPr>
              <w:spacing w:after="0"/>
            </w:pPr>
            <w:r>
              <w:rPr>
                <w:b w:val="false"/>
                <w:bCs w:val="false"/>
                <w:sz w:val="20"/>
                <w:szCs w:val="20"/>
              </w:rPr>
              <w:t xml:space="preserve">That is exactly why Jordan is on this call. He is not a support ticket — he runs the relationship, he sends you the numbers every month, and he is on the phone with you monthly whether things are great or ugly. Let me bring him in.</w:t>
            </w:r>
          </w:p>
        </w:tc>
      </w:tr>
    </w:tbl>
    <w:p>
      <w:pPr>
        <w:pStyle w:val="SectionHead"/>
      </w:pPr>
      <w:r>
        <w:t xml:space="preserve">Part 7 — The close</w:t>
      </w:r>
    </w:p>
    <w:p>
      <w:pPr>
        <w:spacing w:after="160"/>
      </w:pPr>
      <w:r>
        <w:rPr>
          <w:color w:val="5A5A5A"/>
          <w:sz w:val="19"/>
          <w:szCs w:val="19"/>
        </w:rPr>
        <w:t xml:space="preserve">Ask directly. Do not trail off, do not add a “so, yeah.” Ask, then stop talking.</w:t>
      </w:r>
    </w:p>
    <w:p>
      <w:pPr>
        <w:pBdr>
          <w:left w:val="single" w:color="C9C2B6" w:sz="12" w:space="12"/>
        </w:pBdr>
        <w:spacing w:after="140"/>
        <w:ind w:left="300"/>
      </w:pPr>
      <w:r>
        <w:rPr>
          <w:i/>
          <w:iCs/>
        </w:rPr>
        <w:t xml:space="preserve">I think this is a fit and I would like to work with you. Here is what happens next: I send you two documents — the agreement and the scope of work — you sign both electronically, and the first payment starts the build. From there we are on your calendar for a kickoff within a couple of days, and we are usually live inside two weeks. Want me to send those over?</w:t>
      </w:r>
    </w:p>
    <w:p>
      <w:pPr>
        <w:spacing w:after="160"/>
      </w:pPr>
      <w:r>
        <w:rPr>
          <w:color w:val="5A5A5A"/>
          <w:sz w:val="19"/>
          <w:szCs w:val="19"/>
        </w:rPr>
        <w:t xml:space="preserve">If yes — get specific immediately, while you are still on the phone:</w:t>
      </w:r>
    </w:p>
    <w:p>
      <w:pPr>
        <w:pStyle w:val="ListParagraph"/>
        <w:numPr>
          <w:ilvl w:val="0"/>
          <w:numId w:val="2"/>
        </w:numPr>
      </w:pPr>
      <w:r>
        <w:t xml:space="preserve">Confirm the signer’s full legal name, entity name, and billing email.</w:t>
      </w:r>
    </w:p>
    <w:p>
      <w:pPr>
        <w:pStyle w:val="ListParagraph"/>
        <w:numPr>
          <w:ilvl w:val="0"/>
          <w:numId w:val="2"/>
        </w:numPr>
      </w:pPr>
      <w:r>
        <w:t xml:space="preserve">Book the kickoff call before you hang up. Never leave it as “we’ll find a time.”</w:t>
      </w:r>
    </w:p>
    <w:p>
      <w:pPr>
        <w:pStyle w:val="ListParagraph"/>
        <w:numPr>
          <w:ilvl w:val="0"/>
          <w:numId w:val="2"/>
        </w:numPr>
      </w:pPr>
      <w:r>
        <w:t xml:space="preserve">Tell them the onboarding checklist is coming and that the clock starts when it comes back.</w:t>
      </w:r>
    </w:p>
    <w:p>
      <w:pPr>
        <w:spacing w:after="160"/>
      </w:pPr>
      <w:r>
        <w:rPr>
          <w:color w:val="5A5A5A"/>
          <w:sz w:val="19"/>
          <w:szCs w:val="19"/>
        </w:rPr>
        <w:t xml:space="preserve">If not now — set the actual next step, with a date:</w:t>
      </w:r>
    </w:p>
    <w:p>
      <w:pPr>
        <w:pBdr>
          <w:left w:val="single" w:color="C9C2B6" w:sz="12" w:space="12"/>
        </w:pBdr>
        <w:spacing w:after="140"/>
        <w:ind w:left="300"/>
      </w:pPr>
      <w:r>
        <w:rPr>
          <w:i/>
          <w:iCs/>
        </w:rPr>
        <w:t xml:space="preserve">No problem. What I do not want is for this to sit in an inbox for three weeks. Can we put fifteen minutes on the calendar for [specific day] so you can tell me yes or no? Either answer is fine — I just do not want to chase you.</w:t>
      </w:r>
    </w:p>
    <w:p>
      <w:pPr>
        <w:pStyle w:val="SectionHead"/>
      </w:pPr>
      <w:r>
        <w:t xml:space="preserve">Part 8 — Handing off to Jordan (last five minutes)</w:t>
      </w:r>
    </w:p>
    <w:p>
      <w:pPr>
        <w:pBdr>
          <w:left w:val="single" w:color="C9C2B6" w:sz="12" w:space="12"/>
        </w:pBdr>
        <w:spacing w:after="140"/>
        <w:ind w:left="300"/>
      </w:pPr>
      <w:r>
        <w:rPr>
          <w:i/>
          <w:iCs/>
        </w:rPr>
        <w:t xml:space="preserve">Trevor: Before we hang up I want you to meet Jordan. Once you are signed, I am not the guy you are talking to every month — he is.</w:t>
      </w:r>
    </w:p>
    <w:p>
      <w:pPr>
        <w:pBdr>
          <w:left w:val="single" w:color="C9C2B6" w:sz="12" w:space="12"/>
        </w:pBdr>
        <w:spacing w:after="140"/>
        <w:ind w:left="300"/>
      </w:pPr>
      <w:r>
        <w:rPr>
          <w:i/>
          <w:iCs/>
        </w:rPr>
        <w:t xml:space="preserve">Jordan: Good to meet you. Quick version of what I do: I am the one who sends you the numbers and gets on the phone with you every month — spend, leads, how many got qualified, how many got booked, what it cost per appointment, and in plain English what we are changing next. If something looks off, you will hear it from me first, not after you notice it. And if you ever want something changed on the campaign, you text me, not a support inbox.</w:t>
      </w:r>
    </w:p>
    <w:p>
      <w:pPr>
        <w:pBdr>
          <w:left w:val="single" w:color="C9C2B6" w:sz="12" w:space="12"/>
        </w:pBdr>
        <w:spacing w:after="140"/>
        <w:ind w:left="300"/>
      </w:pPr>
      <w:r>
        <w:rPr>
          <w:i/>
          <w:iCs/>
        </w:rPr>
        <w:t xml:space="preserve">Jordan: First week looks like this: kickoff call, we collect the onboarding items, we draft the offer and the creative, you approve it, and we go live. The only thing I will ask of you in return is fast approvals and enough room on the calendar for the patients we send you.</w:t>
      </w:r>
    </w:p>
    <w:p>
      <w:pPr>
        <w:spacing w:after="160"/>
      </w:pPr>
      <w:r>
        <w:rPr>
          <w:color w:val="5A5A5A"/>
          <w:sz w:val="19"/>
          <w:szCs w:val="19"/>
        </w:rPr>
        <w:t xml:space="preserve">Jordan never discusses price, discounts, or contract terms on this call. If it comes up: “Trevor owns that side — Trevor?”</w:t>
      </w:r>
    </w:p>
    <w:p>
      <w:pPr>
        <w:pStyle w:val="SectionHead"/>
      </w:pPr>
      <w:r>
        <w:t xml:space="preserve">Part 9 — Same-day follow-up</w:t>
      </w:r>
    </w:p>
    <w:p>
      <w:pPr>
        <w:pStyle w:val="SubHead"/>
      </w:pPr>
      <w:r>
        <w:t xml:space="preserve">Text, within 15 minutes of hanging up</w:t>
      </w:r>
    </w:p>
    <w:p>
      <w:pPr>
        <w:pBdr>
          <w:left w:val="single" w:color="C9C2B6" w:sz="12" w:space="12"/>
        </w:pBdr>
        <w:spacing w:after="140"/>
        <w:ind w:left="300"/>
      </w:pPr>
      <w:r>
        <w:rPr>
          <w:i/>
          <w:iCs/>
        </w:rPr>
        <w:t xml:space="preserve">[Name] — Trevor at Stay Booked. Great talking with you. Agreement and scope are in your inbox now. Kickoff is on the calendar for [day/time]. Any question at all, text me here.</w:t>
      </w:r>
    </w:p>
    <w:p>
      <w:pPr>
        <w:pStyle w:val="SubHead"/>
      </w:pPr>
      <w:r>
        <w:t xml:space="preserve">Email, same hour</w:t>
      </w:r>
    </w:p>
    <w:p>
      <w:pPr>
        <w:pBdr>
          <w:left w:val="single" w:color="C9C2B6" w:sz="12" w:space="12"/>
        </w:pBdr>
        <w:spacing w:after="140"/>
        <w:ind w:left="300"/>
      </w:pPr>
      <w:r>
        <w:rPr>
          <w:i/>
          <w:iCs/>
        </w:rPr>
        <w:t xml:space="preserve">Subject: Stay Booked — agreement + scope for [Practice Name]</w:t>
      </w:r>
    </w:p>
    <w:p>
      <w:pPr>
        <w:pBdr>
          <w:left w:val="single" w:color="C9C2B6" w:sz="12" w:space="12"/>
        </w:pBdr>
        <w:spacing w:after="140"/>
        <w:ind w:left="300"/>
      </w:pPr>
      <w:r>
        <w:rPr>
          <w:i/>
          <w:iCs/>
        </w:rPr>
        <w:t xml:space="preserve">[Name], great speaking today. Attached are two documents: the Marketing Services Agreement and Statement of Work No. 1. The short version of what we agreed: $2,000/month, no setup fee, ad spend paid by you directly to the platforms, three-month initial term and month-to-month after that. Sign both and we will get the kickoff started on [date]. I have also attached the onboarding checklist — the faster that comes back, the faster we launch. — Trevor</w:t>
      </w:r>
    </w:p>
    <w:p>
      <w:pPr>
        <w:pStyle w:val="SubHead"/>
      </w:pPr>
      <w:r>
        <w:t xml:space="preserve">If they went quiet, day 3</w:t>
      </w:r>
    </w:p>
    <w:p>
      <w:pPr>
        <w:pBdr>
          <w:left w:val="single" w:color="C9C2B6" w:sz="12" w:space="12"/>
        </w:pBdr>
        <w:spacing w:after="140"/>
        <w:ind w:left="300"/>
      </w:pPr>
      <w:r>
        <w:rPr>
          <w:i/>
          <w:iCs/>
        </w:rPr>
        <w:t xml:space="preserve">[Name] — checking in once, not chasing. Is this a no for now, or just bad timing? Either is a completely fine answer.</w:t>
      </w:r>
    </w:p>
    <w:p>
      <w:pPr>
        <w:spacing w:after="160"/>
      </w:pPr>
      <w:r>
        <w:rPr>
          <w:color w:val="5A5A5A"/>
          <w:sz w:val="19"/>
          <w:szCs w:val="19"/>
        </w:rPr>
        <w:t xml:space="preserve">That message gets more replies than any polite follow-up ever written. Send it once.</w:t>
      </w:r>
    </w:p>
    <w:p>
      <w:pPr>
        <w:pStyle w:val="SectionHead"/>
      </w:pPr>
      <w:r>
        <w:t xml:space="preserve">Part 10 — Things we never say</w:t>
      </w:r>
    </w:p>
    <w:p>
      <w:pPr>
        <w:spacing w:after="160"/>
      </w:pPr>
      <w:r>
        <w:rPr>
          <w:color w:val="5A5A5A"/>
          <w:sz w:val="19"/>
          <w:szCs w:val="19"/>
        </w:rPr>
        <w:t xml:space="preserve">These are not style preferences. Each one contradicts something written in the agreement, and saying it out loud can create a promise the contract says we did not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F2F0EC" w:color="auto" w:val="clear"/>
            <w:tcMar>
              <w:top w:type="dxa" w:w="110"/>
              <w:left w:type="dxa" w:w="140"/>
              <w:bottom w:type="dxa" w:w="110"/>
              <w:right w:type="dxa" w:w="140"/>
            </w:tcMar>
          </w:tcPr>
          <w:p>
            <w:pPr>
              <w:spacing w:after="0"/>
            </w:pPr>
            <w:r>
              <w:rPr>
                <w:b/>
                <w:bCs/>
                <w:sz w:val="20"/>
                <w:szCs w:val="20"/>
              </w:rPr>
              <w:t xml:space="preserve">Never say</w:t>
            </w:r>
          </w:p>
        </w:tc>
        <w:tc>
          <w:tcPr>
            <w:tcW w:type="dxa" w:w="5429"/>
            <w:shd w:fill="F2F0EC" w:color="auto" w:val="clear"/>
            <w:tcMar>
              <w:top w:type="dxa" w:w="110"/>
              <w:left w:type="dxa" w:w="140"/>
              <w:bottom w:type="dxa" w:w="110"/>
              <w:right w:type="dxa" w:w="140"/>
            </w:tcMar>
          </w:tcPr>
          <w:p>
            <w:pPr>
              <w:spacing w:after="0"/>
            </w:pPr>
            <w:r>
              <w:rPr>
                <w:b/>
                <w:bCs/>
                <w:sz w:val="20"/>
                <w:szCs w:val="20"/>
              </w:rPr>
              <w:t xml:space="preserve">Say instead</w:t>
            </w:r>
          </w:p>
        </w:tc>
      </w:tr>
      <w:tr>
        <w:tc>
          <w:tcPr>
            <w:tcW w:type="dxa" w:w="3931"/>
            <w:tcMar>
              <w:top w:type="dxa" w:w="110"/>
              <w:left w:type="dxa" w:w="140"/>
              <w:bottom w:type="dxa" w:w="110"/>
              <w:right w:type="dxa" w:w="140"/>
            </w:tcMar>
          </w:tcPr>
          <w:p>
            <w:pPr>
              <w:spacing w:after="0"/>
            </w:pPr>
            <w:r>
              <w:rPr>
                <w:b w:val="false"/>
                <w:bCs w:val="false"/>
                <w:sz w:val="20"/>
                <w:szCs w:val="20"/>
              </w:rPr>
              <w:t xml:space="preserve">“We guarantee you X patients a month.”</w:t>
            </w:r>
          </w:p>
        </w:tc>
        <w:tc>
          <w:tcPr>
            <w:tcW w:type="dxa" w:w="5429"/>
            <w:tcMar>
              <w:top w:type="dxa" w:w="110"/>
              <w:left w:type="dxa" w:w="140"/>
              <w:bottom w:type="dxa" w:w="110"/>
              <w:right w:type="dxa" w:w="140"/>
            </w:tcMar>
          </w:tcPr>
          <w:p>
            <w:pPr>
              <w:spacing w:after="0"/>
            </w:pPr>
            <w:r>
              <w:rPr>
                <w:b w:val="false"/>
                <w:bCs w:val="false"/>
                <w:sz w:val="20"/>
                <w:szCs w:val="20"/>
              </w:rPr>
              <w:t xml:space="preserve">“We do not guarantee results. Here is what we commit to, and here is how you will see it every month.”</w:t>
            </w:r>
          </w:p>
        </w:tc>
      </w:tr>
      <w:tr>
        <w:tc>
          <w:tcPr>
            <w:tcW w:type="dxa" w:w="3931"/>
            <w:tcMar>
              <w:top w:type="dxa" w:w="110"/>
              <w:left w:type="dxa" w:w="140"/>
              <w:bottom w:type="dxa" w:w="110"/>
              <w:right w:type="dxa" w:w="140"/>
            </w:tcMar>
          </w:tcPr>
          <w:p>
            <w:pPr>
              <w:spacing w:after="0"/>
            </w:pPr>
            <w:r>
              <w:rPr>
                <w:b w:val="false"/>
                <w:bCs w:val="false"/>
                <w:sz w:val="20"/>
                <w:szCs w:val="20"/>
              </w:rPr>
              <w:t xml:space="preserve">“You will make your money back in the first month.”</w:t>
            </w:r>
          </w:p>
        </w:tc>
        <w:tc>
          <w:tcPr>
            <w:tcW w:type="dxa" w:w="5429"/>
            <w:tcMar>
              <w:top w:type="dxa" w:w="110"/>
              <w:left w:type="dxa" w:w="140"/>
              <w:bottom w:type="dxa" w:w="110"/>
              <w:right w:type="dxa" w:w="140"/>
            </w:tcMar>
          </w:tcPr>
          <w:p>
            <w:pPr>
              <w:spacing w:after="0"/>
            </w:pPr>
            <w:r>
              <w:rPr>
                <w:b w:val="false"/>
                <w:bCs w:val="false"/>
                <w:sz w:val="20"/>
                <w:szCs w:val="20"/>
              </w:rPr>
              <w:t xml:space="preserve">“Based on your numbers, it pays for itself at about [N] patients. How fast that happens depends on your market and your follow-up.”</w:t>
            </w:r>
          </w:p>
        </w:tc>
      </w:tr>
      <w:tr>
        <w:tc>
          <w:tcPr>
            <w:tcW w:type="dxa" w:w="3931"/>
            <w:tcMar>
              <w:top w:type="dxa" w:w="110"/>
              <w:left w:type="dxa" w:w="140"/>
              <w:bottom w:type="dxa" w:w="110"/>
              <w:right w:type="dxa" w:w="140"/>
            </w:tcMar>
          </w:tcPr>
          <w:p>
            <w:pPr>
              <w:spacing w:after="0"/>
            </w:pPr>
            <w:r>
              <w:rPr>
                <w:b w:val="false"/>
                <w:bCs w:val="false"/>
                <w:sz w:val="20"/>
                <w:szCs w:val="20"/>
              </w:rPr>
              <w:t xml:space="preserve">“That’s HIPAA compliant, you’re fine.”</w:t>
            </w:r>
          </w:p>
        </w:tc>
        <w:tc>
          <w:tcPr>
            <w:tcW w:type="dxa" w:w="5429"/>
            <w:tcMar>
              <w:top w:type="dxa" w:w="110"/>
              <w:left w:type="dxa" w:w="140"/>
              <w:bottom w:type="dxa" w:w="110"/>
              <w:right w:type="dxa" w:w="140"/>
            </w:tcMar>
          </w:tcPr>
          <w:p>
            <w:pPr>
              <w:spacing w:after="0"/>
            </w:pPr>
            <w:r>
              <w:rPr>
                <w:b w:val="false"/>
                <w:bCs w:val="false"/>
                <w:sz w:val="20"/>
                <w:szCs w:val="20"/>
              </w:rPr>
              <w:t xml:space="preserve">“Here is how we minimize touching patient information. For whether your setup is compliant, that is a question for your attorney — and we will work with whatever they tell you.”</w:t>
            </w:r>
          </w:p>
        </w:tc>
      </w:tr>
      <w:tr>
        <w:tc>
          <w:tcPr>
            <w:tcW w:type="dxa" w:w="3931"/>
            <w:tcMar>
              <w:top w:type="dxa" w:w="110"/>
              <w:left w:type="dxa" w:w="140"/>
              <w:bottom w:type="dxa" w:w="110"/>
              <w:right w:type="dxa" w:w="140"/>
            </w:tcMar>
          </w:tcPr>
          <w:p>
            <w:pPr>
              <w:spacing w:after="0"/>
            </w:pPr>
            <w:r>
              <w:rPr>
                <w:b w:val="false"/>
                <w:bCs w:val="false"/>
                <w:sz w:val="20"/>
                <w:szCs w:val="20"/>
              </w:rPr>
              <w:t xml:space="preserve">“That claim is legal, go ahead and run it.”</w:t>
            </w:r>
          </w:p>
        </w:tc>
        <w:tc>
          <w:tcPr>
            <w:tcW w:type="dxa" w:w="5429"/>
            <w:tcMar>
              <w:top w:type="dxa" w:w="110"/>
              <w:left w:type="dxa" w:w="140"/>
              <w:bottom w:type="dxa" w:w="110"/>
              <w:right w:type="dxa" w:w="140"/>
            </w:tcMar>
          </w:tcPr>
          <w:p>
            <w:pPr>
              <w:spacing w:after="0"/>
            </w:pPr>
            <w:r>
              <w:rPr>
                <w:b w:val="false"/>
                <w:bCs w:val="false"/>
                <w:sz w:val="20"/>
                <w:szCs w:val="20"/>
              </w:rPr>
              <w:t xml:space="preserve">“You are the final approver on claims about your practice. If you are unsure, run it past your counsel and we will build around their answer.”</w:t>
            </w:r>
          </w:p>
        </w:tc>
      </w:tr>
      <w:tr>
        <w:tc>
          <w:tcPr>
            <w:tcW w:type="dxa" w:w="3931"/>
            <w:tcMar>
              <w:top w:type="dxa" w:w="110"/>
              <w:left w:type="dxa" w:w="140"/>
              <w:bottom w:type="dxa" w:w="110"/>
              <w:right w:type="dxa" w:w="140"/>
            </w:tcMar>
          </w:tcPr>
          <w:p>
            <w:pPr>
              <w:spacing w:after="0"/>
            </w:pPr>
            <w:r>
              <w:rPr>
                <w:b w:val="false"/>
                <w:bCs w:val="false"/>
                <w:sz w:val="20"/>
                <w:szCs w:val="20"/>
              </w:rPr>
              <w:t xml:space="preserve">“Meta will approve it, don’t worry.”</w:t>
            </w:r>
          </w:p>
        </w:tc>
        <w:tc>
          <w:tcPr>
            <w:tcW w:type="dxa" w:w="5429"/>
            <w:tcMar>
              <w:top w:type="dxa" w:w="110"/>
              <w:left w:type="dxa" w:w="140"/>
              <w:bottom w:type="dxa" w:w="110"/>
              <w:right w:type="dxa" w:w="140"/>
            </w:tcMar>
          </w:tcPr>
          <w:p>
            <w:pPr>
              <w:spacing w:after="0"/>
            </w:pPr>
            <w:r>
              <w:rPr>
                <w:b w:val="false"/>
                <w:bCs w:val="false"/>
                <w:sz w:val="20"/>
                <w:szCs w:val="20"/>
              </w:rPr>
              <w:t xml:space="preserve">“Platforms review independently. We build to their policy and we appeal when they get it wrong, but nobody can promise approval.”</w:t>
            </w:r>
          </w:p>
        </w:tc>
      </w:tr>
      <w:tr>
        <w:tc>
          <w:tcPr>
            <w:tcW w:type="dxa" w:w="3931"/>
            <w:tcMar>
              <w:top w:type="dxa" w:w="110"/>
              <w:left w:type="dxa" w:w="140"/>
              <w:bottom w:type="dxa" w:w="110"/>
              <w:right w:type="dxa" w:w="140"/>
            </w:tcMar>
          </w:tcPr>
          <w:p>
            <w:pPr>
              <w:spacing w:after="0"/>
            </w:pPr>
            <w:r>
              <w:rPr>
                <w:b w:val="false"/>
                <w:bCs w:val="false"/>
                <w:sz w:val="20"/>
                <w:szCs w:val="20"/>
              </w:rPr>
              <w:t xml:space="preserve">“You can cancel any time” (during the first three months)</w:t>
            </w:r>
          </w:p>
        </w:tc>
        <w:tc>
          <w:tcPr>
            <w:tcW w:type="dxa" w:w="5429"/>
            <w:tcMar>
              <w:top w:type="dxa" w:w="110"/>
              <w:left w:type="dxa" w:w="140"/>
              <w:bottom w:type="dxa" w:w="110"/>
              <w:right w:type="dxa" w:w="140"/>
            </w:tcMar>
          </w:tcPr>
          <w:p>
            <w:pPr>
              <w:spacing w:after="0"/>
            </w:pPr>
            <w:r>
              <w:rPr>
                <w:b w:val="false"/>
                <w:bCs w:val="false"/>
                <w:sz w:val="20"/>
                <w:szCs w:val="20"/>
              </w:rPr>
              <w:t xml:space="preserve">“Three months to start, then month to month with thirty days notice.”</w:t>
            </w:r>
          </w:p>
        </w:tc>
      </w:tr>
    </w:tbl>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777777"/>
        <w:sz w:val="17"/>
        <w:szCs w:val="17"/>
      </w:rPr>
      <w:t xml:space="preserve">Client Introduction Call Script — Internal Use Only  ·  Page </w:t>
    </w:r>
    <w:r>
      <w:rPr>
        <w:color w:val="777777"/>
        <w:sz w:val="17"/>
        <w:szCs w:val="17"/>
      </w:rPr>
      <w:fldChar w:fldCharType="begin"/>
      <w:instrText xml:space="preserve">PAGE</w:instrText>
      <w:fldChar w:fldCharType="separate"/>
      <w:fldChar w:fldCharType="end"/>
    </w:r>
    <w:r>
      <w:rPr>
        <w:color w:val="777777"/>
        <w:sz w:val="17"/>
        <w:szCs w:val="17"/>
      </w:rPr>
      <w:t xml:space="preserve"> of </w:t>
    </w:r>
    <w:r>
      <w:rPr>
        <w:color w:val="777777"/>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after="15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60"/>
      <w:jc w:val="center"/>
    </w:pPr>
    <w:rPr>
      <w:b/>
      <w:bCs/>
      <w:color w:val="111111"/>
      <w:sz w:val="32"/>
      <w:szCs w:val="32"/>
    </w:rPr>
  </w:style>
  <w:style w:type="paragraph" w:styleId="DocSub">
    <w:name w:val="Doc Subtitle"/>
    <w:basedOn w:val="Normal"/>
    <w:pPr>
      <w:spacing w:after="320"/>
      <w:jc w:val="center"/>
    </w:pPr>
    <w:rPr>
      <w:i/>
      <w:iCs/>
      <w:color w:val="5A5A5A"/>
      <w:sz w:val="19"/>
      <w:szCs w:val="19"/>
    </w:rPr>
  </w:style>
  <w:style w:type="paragraph" w:styleId="SectionHead">
    <w:name w:val="Section Head"/>
    <w:basedOn w:val="Normal"/>
    <w:next w:val="Normal"/>
    <w:pPr>
      <w:keepNext/>
      <w:spacing w:after="110" w:before="280"/>
    </w:pPr>
    <w:rPr>
      <w:b/>
      <w:bCs/>
      <w:color w:val="111111"/>
      <w:sz w:val="22"/>
      <w:szCs w:val="22"/>
    </w:rPr>
  </w:style>
  <w:style w:type="paragraph" w:styleId="SubHead">
    <w:name w:val="Sub Head"/>
    <w:basedOn w:val="Normal"/>
    <w:next w:val="Normal"/>
    <w:pPr>
      <w:keepNext/>
      <w:spacing w:after="90" w:before="200"/>
    </w:pPr>
    <w:rPr>
      <w:b/>
      <w:bCs/>
      <w:color w:val="222222"/>
      <w:sz w:val="21"/>
      <w:szCs w:val="21"/>
    </w:rPr>
  </w:style>
  <w:style w:type="paragraph" w:styleId="Quiet">
    <w:name w:val="Quiet"/>
    <w:basedOn w:val="Normal"/>
    <w:pPr>
      <w:spacing w:after="140"/>
    </w:pPr>
    <w:rPr>
      <w:i/>
      <w:iCs/>
      <w:color w:val="5A5A5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2026-08-18T05:53:22.905Z</dcterms:created>
  <dcterms:modified xsi:type="dcterms:W3CDTF">2026-08-18T05:53:22.905Z</dcterms:modified>
</cp:coreProperties>
</file>

<file path=docProps/custom.xml><?xml version="1.0" encoding="utf-8"?>
<Properties xmlns="http://schemas.openxmlformats.org/officeDocument/2006/custom-properties" xmlns:vt="http://schemas.openxmlformats.org/officeDocument/2006/docPropsVTypes"/>
</file>