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CLIENT INTRODUCTION CALL SCRIPT</w:t>
      </w:r>
    </w:p>
    <w:p>
      <w:pPr>
        <w:pStyle w:val="DocSub"/>
      </w:pPr>
      <w:r>
        <w:t xml:space="preserve">A two-person call — Jordan Vo &amp; Trevor Mayberry</w:t>
      </w:r>
    </w:p>
    <w:p>
      <w:pPr>
        <w:pStyle w:val="Quiet"/>
      </w:pPr>
      <w:r>
        <w:t xml:space="preserve">Internal use only. Do not send to prospects. Bold names mark who is speaking; the italic words are said out loud. Everything in grey is direction, not dialogue. Target call length: 25 minutes.</w:t>
      </w:r>
    </w:p>
    <w:p>
      <w:pPr>
        <w:pStyle w:val="SectionHead"/>
      </w:pPr>
      <w:r>
        <w:t xml:space="preserve">Why two people on the call</w:t>
      </w:r>
    </w:p>
    <w:p>
      <w:r>
        <w:t xml:space="preserve">A solo sales call sounds like a pitch. Two people sound like a company. It also lets each of you do the part you are actually best at, and it means the client meets their long-term contact before they sign rather than after — which is the single most common reason agency clients feel bait-and-switched.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4118"/>
        <w:gridCol w:w="4118"/>
      </w:tblGrid>
      <w:tr>
        <w:trPr>
          <w:tblHeader/>
        </w:trPr>
        <w:tc>
          <w:tcPr>
            <w:tcW w:type="dxa" w:w="1123"/>
            <w:shd w:fill="F2F0EC" w:color="auto" w:val="clear"/>
            <w:tcMar>
              <w:top w:type="dxa" w:w="100"/>
              <w:left w:type="dxa" w:w="130"/>
              <w:bottom w:type="dxa" w:w="100"/>
              <w:right w:type="dxa" w:w="130"/>
            </w:tcMar>
          </w:tcPr>
          <w:p>
            <w:pPr>
              <w:spacing w:after="0"/>
            </w:pPr>
            <w:r>
              <w:rPr>
                <w:b/>
                <w:bCs/>
                <w:sz w:val="19"/>
                <w:szCs w:val="19"/>
              </w:rPr>
              <w:t xml:space="preserve"/>
            </w:r>
          </w:p>
        </w:tc>
        <w:tc>
          <w:tcPr>
            <w:tcW w:type="dxa" w:w="4118"/>
            <w:shd w:fill="F2F0EC" w:color="auto" w:val="clear"/>
            <w:tcMar>
              <w:top w:type="dxa" w:w="100"/>
              <w:left w:type="dxa" w:w="130"/>
              <w:bottom w:type="dxa" w:w="100"/>
              <w:right w:type="dxa" w:w="130"/>
            </w:tcMar>
          </w:tcPr>
          <w:p>
            <w:pPr>
              <w:spacing w:after="0"/>
            </w:pPr>
            <w:r>
              <w:rPr>
                <w:b/>
                <w:bCs/>
                <w:sz w:val="19"/>
                <w:szCs w:val="19"/>
              </w:rPr>
              <w:t xml:space="preserve">Jordan — Chief Revenue Officer</w:t>
            </w:r>
          </w:p>
        </w:tc>
        <w:tc>
          <w:tcPr>
            <w:tcW w:type="dxa" w:w="4118"/>
            <w:shd w:fill="F2F0EC" w:color="auto" w:val="clear"/>
            <w:tcMar>
              <w:top w:type="dxa" w:w="100"/>
              <w:left w:type="dxa" w:w="130"/>
              <w:bottom w:type="dxa" w:w="100"/>
              <w:right w:type="dxa" w:w="130"/>
            </w:tcMar>
          </w:tcPr>
          <w:p>
            <w:pPr>
              <w:spacing w:after="0"/>
            </w:pPr>
            <w:r>
              <w:rPr>
                <w:b/>
                <w:bCs/>
                <w:sz w:val="19"/>
                <w:szCs w:val="19"/>
              </w:rPr>
              <w:t xml:space="preserve">Trevor — CEO</w:t>
            </w:r>
          </w:p>
        </w:tc>
      </w:tr>
      <w:tr>
        <w:tc>
          <w:tcPr>
            <w:tcW w:type="dxa" w:w="1123"/>
            <w:tcMar>
              <w:top w:type="dxa" w:w="100"/>
              <w:left w:type="dxa" w:w="130"/>
              <w:bottom w:type="dxa" w:w="100"/>
              <w:right w:type="dxa" w:w="130"/>
            </w:tcMar>
          </w:tcPr>
          <w:p>
            <w:pPr>
              <w:spacing w:after="0"/>
            </w:pPr>
            <w:r>
              <w:rPr>
                <w:b w:val="false"/>
                <w:bCs w:val="false"/>
                <w:sz w:val="19"/>
                <w:szCs w:val="19"/>
              </w:rPr>
              <w:t xml:space="preserve">Owns</w:t>
            </w:r>
          </w:p>
        </w:tc>
        <w:tc>
          <w:tcPr>
            <w:tcW w:type="dxa" w:w="4118"/>
            <w:tcMar>
              <w:top w:type="dxa" w:w="100"/>
              <w:left w:type="dxa" w:w="130"/>
              <w:bottom w:type="dxa" w:w="100"/>
              <w:right w:type="dxa" w:w="130"/>
            </w:tcMar>
          </w:tcPr>
          <w:p>
            <w:pPr>
              <w:spacing w:after="0"/>
            </w:pPr>
            <w:r>
              <w:rPr>
                <w:b w:val="false"/>
                <w:bCs w:val="false"/>
                <w:sz w:val="19"/>
                <w:szCs w:val="19"/>
              </w:rPr>
              <w:t xml:space="preserve">The relationship. Opens the call, runs discovery, explains how the system works, and is the face they will see every month after signing.</w:t>
            </w:r>
          </w:p>
        </w:tc>
        <w:tc>
          <w:tcPr>
            <w:tcW w:type="dxa" w:w="4118"/>
            <w:tcMar>
              <w:top w:type="dxa" w:w="100"/>
              <w:left w:type="dxa" w:w="130"/>
              <w:bottom w:type="dxa" w:w="100"/>
              <w:right w:type="dxa" w:w="130"/>
            </w:tcMar>
          </w:tcPr>
          <w:p>
            <w:pPr>
              <w:spacing w:after="0"/>
            </w:pPr>
            <w:r>
              <w:rPr>
                <w:b w:val="false"/>
                <w:bCs w:val="false"/>
                <w:sz w:val="19"/>
                <w:szCs w:val="19"/>
              </w:rPr>
              <w:t xml:space="preserve">The deal. Runs the economics questions, presents price, handles objections, and asks for the business.</w:t>
            </w:r>
          </w:p>
        </w:tc>
      </w:tr>
      <w:tr>
        <w:tc>
          <w:tcPr>
            <w:tcW w:type="dxa" w:w="1123"/>
            <w:tcMar>
              <w:top w:type="dxa" w:w="100"/>
              <w:left w:type="dxa" w:w="130"/>
              <w:bottom w:type="dxa" w:w="100"/>
              <w:right w:type="dxa" w:w="130"/>
            </w:tcMar>
          </w:tcPr>
          <w:p>
            <w:pPr>
              <w:spacing w:after="0"/>
            </w:pPr>
            <w:r>
              <w:rPr>
                <w:b w:val="false"/>
                <w:bCs w:val="false"/>
                <w:sz w:val="19"/>
                <w:szCs w:val="19"/>
              </w:rPr>
              <w:t xml:space="preserve">Speaks</w:t>
            </w:r>
          </w:p>
        </w:tc>
        <w:tc>
          <w:tcPr>
            <w:tcW w:type="dxa" w:w="4118"/>
            <w:tcMar>
              <w:top w:type="dxa" w:w="100"/>
              <w:left w:type="dxa" w:w="130"/>
              <w:bottom w:type="dxa" w:w="100"/>
              <w:right w:type="dxa" w:w="130"/>
            </w:tcMar>
          </w:tcPr>
          <w:p>
            <w:pPr>
              <w:spacing w:after="0"/>
            </w:pPr>
            <w:r>
              <w:rPr>
                <w:b w:val="false"/>
                <w:bCs w:val="false"/>
                <w:sz w:val="19"/>
                <w:szCs w:val="19"/>
              </w:rPr>
              <w:t xml:space="preserve">First and most. Roughly two thirds of the call.</w:t>
            </w:r>
          </w:p>
        </w:tc>
        <w:tc>
          <w:tcPr>
            <w:tcW w:type="dxa" w:w="4118"/>
            <w:tcMar>
              <w:top w:type="dxa" w:w="100"/>
              <w:left w:type="dxa" w:w="130"/>
              <w:bottom w:type="dxa" w:w="100"/>
              <w:right w:type="dxa" w:w="130"/>
            </w:tcMar>
          </w:tcPr>
          <w:p>
            <w:pPr>
              <w:spacing w:after="0"/>
            </w:pPr>
            <w:r>
              <w:rPr>
                <w:b w:val="false"/>
                <w:bCs w:val="false"/>
                <w:sz w:val="19"/>
                <w:szCs w:val="19"/>
              </w:rPr>
              <w:t xml:space="preserve">The money half: value, offer, objections, close.</w:t>
            </w:r>
          </w:p>
        </w:tc>
      </w:tr>
      <w:tr>
        <w:tc>
          <w:tcPr>
            <w:tcW w:type="dxa" w:w="1123"/>
            <w:tcMar>
              <w:top w:type="dxa" w:w="100"/>
              <w:left w:type="dxa" w:w="130"/>
              <w:bottom w:type="dxa" w:w="100"/>
              <w:right w:type="dxa" w:w="130"/>
            </w:tcMar>
          </w:tcPr>
          <w:p>
            <w:pPr>
              <w:spacing w:after="0"/>
            </w:pPr>
            <w:r>
              <w:rPr>
                <w:b w:val="false"/>
                <w:bCs w:val="false"/>
                <w:sz w:val="19"/>
                <w:szCs w:val="19"/>
              </w:rPr>
              <w:t xml:space="preserve">Never</w:t>
            </w:r>
          </w:p>
        </w:tc>
        <w:tc>
          <w:tcPr>
            <w:tcW w:type="dxa" w:w="4118"/>
            <w:tcMar>
              <w:top w:type="dxa" w:w="100"/>
              <w:left w:type="dxa" w:w="130"/>
              <w:bottom w:type="dxa" w:w="100"/>
              <w:right w:type="dxa" w:w="130"/>
            </w:tcMar>
          </w:tcPr>
          <w:p>
            <w:pPr>
              <w:spacing w:after="0"/>
            </w:pPr>
            <w:r>
              <w:rPr>
                <w:b w:val="false"/>
                <w:bCs w:val="false"/>
                <w:sz w:val="19"/>
                <w:szCs w:val="19"/>
              </w:rPr>
              <w:t xml:space="preserve">Never quotes a price or negotiates terms. If price comes up early: “Trevor owns that side — Trevor?”</w:t>
            </w:r>
          </w:p>
        </w:tc>
        <w:tc>
          <w:tcPr>
            <w:tcW w:type="dxa" w:w="4118"/>
            <w:tcMar>
              <w:top w:type="dxa" w:w="100"/>
              <w:left w:type="dxa" w:w="130"/>
              <w:bottom w:type="dxa" w:w="100"/>
              <w:right w:type="dxa" w:w="130"/>
            </w:tcMar>
          </w:tcPr>
          <w:p>
            <w:pPr>
              <w:spacing w:after="0"/>
            </w:pPr>
            <w:r>
              <w:rPr>
                <w:b w:val="false"/>
                <w:bCs w:val="false"/>
                <w:sz w:val="19"/>
                <w:szCs w:val="19"/>
              </w:rPr>
              <w:t xml:space="preserve">Never dives into campaign mechanics mid-close. Hand it back: “Jordan, walk him through how that actually runs.”</w:t>
            </w:r>
          </w:p>
        </w:tc>
      </w:tr>
    </w:tbl>
    <w:p>
      <w:pPr>
        <w:spacing w:after="150"/>
      </w:pPr>
      <w:r>
        <w:rPr>
          <w:color w:val="5A5A5A"/>
          <w:sz w:val="19"/>
          <w:szCs w:val="19"/>
        </w:rPr>
        <w:t xml:space="preserve">One rule that matters more than any line in this document: never talk over each other, and never repeat what the other just said. When one of you is talking, the other is silent. Two people finishing each other’s pitch sounds rehearsed and desperate.</w:t>
      </w:r>
    </w:p>
    <w:p>
      <w:pPr>
        <w:pStyle w:val="SectionHead"/>
      </w:pPr>
      <w:r>
        <w:t xml:space="preserve">Part 1 — Two minutes before you dial</w:t>
      </w:r>
    </w:p>
    <w:p>
      <w:pPr>
        <w:pStyle w:val="ListParagraph"/>
        <w:numPr>
          <w:ilvl w:val="0"/>
          <w:numId w:val="2"/>
        </w:numPr>
      </w:pPr>
      <w:r>
        <w:t xml:space="preserve">Jordan: know their practice — name, city, service lines, solo or small group — and pull their competitors’ ads in the Meta Ad Library. If a competitor is running ads, say so on the call. It lands every time.</w:t>
      </w:r>
    </w:p>
    <w:p>
      <w:pPr>
        <w:pStyle w:val="ListParagraph"/>
        <w:numPr>
          <w:ilvl w:val="0"/>
          <w:numId w:val="2"/>
        </w:numPr>
      </w:pPr>
      <w:r>
        <w:t xml:space="preserve">Trevor: know the number you are going to do math with — what a new patient is plausibly worth to them.</w:t>
      </w:r>
    </w:p>
    <w:p>
      <w:pPr>
        <w:pStyle w:val="ListParagraph"/>
        <w:numPr>
          <w:ilvl w:val="0"/>
          <w:numId w:val="2"/>
        </w:numPr>
      </w:pPr>
      <w:r>
        <w:t xml:space="preserve">Agree in advance who takes which objection so you are not both jumping in.</w:t>
      </w:r>
    </w:p>
    <w:p>
      <w:pPr>
        <w:pStyle w:val="ListParagraph"/>
        <w:numPr>
          <w:ilvl w:val="0"/>
          <w:numId w:val="2"/>
        </w:numPr>
      </w:pPr>
      <w:r>
        <w:t xml:space="preserve">Have the Agreement, the SOW, and the calendar link open. If they say yes, you send within ten minutes, not tomorrow.</w:t>
      </w:r>
    </w:p>
    <w:p>
      <w:pPr>
        <w:pStyle w:val="SectionHead"/>
      </w:pPr>
      <w:r>
        <w:t xml:space="preserve">Part 2 — The opening (first 90 seconds)</w:t>
      </w:r>
    </w:p>
    <w:p>
      <w:pPr>
        <w:pBdr>
          <w:left w:val="single" w:color="C9C2B6" w:sz="12" w:space="12"/>
        </w:pBdr>
        <w:spacing w:after="130"/>
        <w:ind w:left="300"/>
      </w:pPr>
      <w:r>
        <w:rPr>
          <w:b/>
          <w:bCs/>
        </w:rPr>
        <w:t xml:space="preserve">JORDAN: </w:t>
      </w:r>
      <w:r>
        <w:rPr>
          <w:i/>
          <w:iCs/>
        </w:rPr>
        <w:t xml:space="preserve">Hey [Name], it’s Jordan with Stay Booked, and I’ve got Trevor on with me — he’s our CEO. Thanks for making the time.</w:t>
      </w:r>
    </w:p>
    <w:p>
      <w:pPr>
        <w:pBdr>
          <w:left w:val="single" w:color="C9C2B6" w:sz="12" w:space="12"/>
        </w:pBdr>
        <w:spacing w:after="130"/>
        <w:ind w:left="300"/>
      </w:pPr>
      <w:r>
        <w:rPr>
          <w:b/>
          <w:bCs/>
        </w:rPr>
        <w:t xml:space="preserve">JORDAN: </w:t>
      </w:r>
      <w:r>
        <w:rPr>
          <w:i/>
          <w:iCs/>
        </w:rPr>
        <w:t xml:space="preserve">Quick note on how I run these so nothing is a surprise: I’m going to ask you about the practice for ten minutes or so, then Trevor will show you exactly what this looks like and what it costs. If it’s a fit we’ll tell you. If it isn’t, we’ll tell you that too and give you your afternoon back. Fair?</w:t>
      </w:r>
    </w:p>
    <w:p>
      <w:pPr>
        <w:spacing w:after="150"/>
      </w:pPr>
      <w:r>
        <w:rPr>
          <w:color w:val="5A5A5A"/>
          <w:sz w:val="19"/>
          <w:szCs w:val="19"/>
        </w:rPr>
        <w:t xml:space="preserve">Wait for the yes. That yes is the frame for the entire call — it buys the right to ask real questions and it earns the right to ask for the business at the end.</w:t>
      </w:r>
    </w:p>
    <w:p>
      <w:pPr>
        <w:pBdr>
          <w:left w:val="single" w:color="C9C2B6" w:sz="12" w:space="12"/>
        </w:pBdr>
        <w:spacing w:after="130"/>
        <w:ind w:left="300"/>
      </w:pPr>
      <w:r>
        <w:rPr>
          <w:b/>
          <w:bCs/>
        </w:rPr>
        <w:t xml:space="preserve">JORDAN: </w:t>
      </w:r>
      <w:r>
        <w:rPr>
          <w:i/>
          <w:iCs/>
        </w:rPr>
        <w:t xml:space="preserve">One thing so you know who you’re talking to: we work almost entirely with nurse practitioners and small independent practices. That’s deliberate. Most agencies will run the same restaurant playbook on a medical practice and hand you a compliance problem. Everything we build gets reviewed against the advertising rules for your license type and your state before it goes live.</w:t>
      </w:r>
    </w:p>
    <w:p>
      <w:pPr>
        <w:pBdr>
          <w:left w:val="single" w:color="C9C2B6" w:sz="12" w:space="12"/>
        </w:pBdr>
        <w:spacing w:after="130"/>
        <w:ind w:left="300"/>
      </w:pPr>
      <w:r>
        <w:rPr>
          <w:b/>
          <w:bCs/>
        </w:rPr>
        <w:t xml:space="preserve">TREVOR: </w:t>
      </w:r>
      <w:r>
        <w:rPr>
          <w:i/>
          <w:iCs/>
        </w:rPr>
        <w:t xml:space="preserve">And I’ll mostly stay out of your way until the end — I’m here for the numbers and to answer anything about how we work as a company.</w:t>
      </w:r>
    </w:p>
    <w:p>
      <w:pPr>
        <w:pStyle w:val="SectionHead"/>
      </w:pPr>
      <w:r>
        <w:t xml:space="preserve">Part 3 — Discovery (Jordan leads, ten minutes)</w:t>
      </w:r>
    </w:p>
    <w:p>
      <w:pPr>
        <w:spacing w:after="150"/>
      </w:pPr>
      <w:r>
        <w:rPr>
          <w:color w:val="5A5A5A"/>
          <w:sz w:val="19"/>
          <w:szCs w:val="19"/>
        </w:rPr>
        <w:t xml:space="preserve">Ask these in order. Stop talking after each one. The goal is that they say the problem out loud before anyone pitches — people believe what they hear themselves say.</w:t>
      </w:r>
    </w:p>
    <w:p>
      <w:pPr>
        <w:pStyle w:val="SubHead"/>
      </w:pPr>
      <w:r>
        <w:t xml:space="preserve">Their business today — Jordan</w:t>
      </w:r>
    </w:p>
    <w:p>
      <w:pPr>
        <w:pStyle w:val="ListParagraph"/>
        <w:numPr>
          <w:ilvl w:val="0"/>
          <w:numId w:val="2"/>
        </w:numPr>
      </w:pPr>
      <w:r>
        <w:t xml:space="preserve">Tell me about the practice — what do you do, and who’s the patient you want more of?</w:t>
      </w:r>
    </w:p>
    <w:p>
      <w:pPr>
        <w:pStyle w:val="ListParagraph"/>
        <w:numPr>
          <w:ilvl w:val="0"/>
          <w:numId w:val="2"/>
        </w:numPr>
      </w:pPr>
      <w:r>
        <w:t xml:space="preserve">How are new patients finding you right now?</w:t>
      </w:r>
    </w:p>
    <w:p>
      <w:pPr>
        <w:pStyle w:val="ListParagraph"/>
        <w:numPr>
          <w:ilvl w:val="0"/>
          <w:numId w:val="2"/>
        </w:numPr>
      </w:pPr>
      <w:r>
        <w:t xml:space="preserve">Have you run paid ads before? What happened?</w:t>
      </w:r>
    </w:p>
    <w:p>
      <w:pPr>
        <w:pStyle w:val="ListParagraph"/>
        <w:numPr>
          <w:ilvl w:val="0"/>
          <w:numId w:val="2"/>
        </w:numPr>
      </w:pPr>
      <w:r>
        <w:t xml:space="preserve">Who handles the phone and the inbox when an inquiry comes in?</w:t>
      </w:r>
    </w:p>
    <w:p>
      <w:pPr>
        <w:pStyle w:val="SubHead"/>
      </w:pPr>
      <w:r>
        <w:t xml:space="preserve">The pain — Jordan</w:t>
      </w:r>
    </w:p>
    <w:p>
      <w:pPr>
        <w:pStyle w:val="ListParagraph"/>
        <w:numPr>
          <w:ilvl w:val="0"/>
          <w:numId w:val="2"/>
        </w:numPr>
      </w:pPr>
      <w:r>
        <w:t xml:space="preserve">When an inquiry comes in at 7pm on a Friday, what happens to it?</w:t>
      </w:r>
    </w:p>
    <w:p>
      <w:pPr>
        <w:pStyle w:val="ListParagraph"/>
        <w:numPr>
          <w:ilvl w:val="0"/>
          <w:numId w:val="2"/>
        </w:numPr>
      </w:pPr>
      <w:r>
        <w:t xml:space="preserve">How fast does someone actually get back to them?</w:t>
      </w:r>
    </w:p>
    <w:p>
      <w:pPr>
        <w:pStyle w:val="ListParagraph"/>
        <w:numPr>
          <w:ilvl w:val="0"/>
          <w:numId w:val="2"/>
        </w:numPr>
      </w:pPr>
      <w:r>
        <w:t xml:space="preserve">What percentage of the people who reach out end up sitting in your chair?</w:t>
      </w:r>
    </w:p>
    <w:p>
      <w:pPr>
        <w:pStyle w:val="ListParagraph"/>
        <w:numPr>
          <w:ilvl w:val="0"/>
          <w:numId w:val="2"/>
        </w:numPr>
      </w:pPr>
      <w:r>
        <w:t xml:space="preserve">What have you tried that didn’t work, and what did that cost you?</w:t>
      </w:r>
    </w:p>
    <w:p>
      <w:pPr>
        <w:pStyle w:val="SubHead"/>
      </w:pPr>
      <w:r>
        <w:t xml:space="preserve">The economics — Trevor takes over here</w:t>
      </w:r>
    </w:p>
    <w:p>
      <w:pPr>
        <w:spacing w:after="150"/>
      </w:pPr>
      <w:r>
        <w:rPr>
          <w:color w:val="5A5A5A"/>
          <w:sz w:val="19"/>
          <w:szCs w:val="19"/>
        </w:rPr>
        <w:t xml:space="preserve">This handoff is deliberate. The CEO asking about money is normal; it also signals the conversation is turning serious.</w:t>
      </w:r>
    </w:p>
    <w:p>
      <w:pPr>
        <w:pBdr>
          <w:left w:val="single" w:color="C9C2B6" w:sz="12" w:space="12"/>
        </w:pBdr>
        <w:spacing w:after="130"/>
        <w:ind w:left="300"/>
      </w:pPr>
      <w:r>
        <w:rPr>
          <w:b/>
          <w:bCs/>
        </w:rPr>
        <w:t xml:space="preserve">TREVOR: </w:t>
      </w:r>
      <w:r>
        <w:rPr>
          <w:i/>
          <w:iCs/>
        </w:rPr>
        <w:t xml:space="preserve">Let me jump in on the numbers side for a second, because it changes what we’d even recommend.</w:t>
      </w:r>
    </w:p>
    <w:p>
      <w:pPr>
        <w:pStyle w:val="ListParagraph"/>
        <w:numPr>
          <w:ilvl w:val="0"/>
          <w:numId w:val="2"/>
        </w:numPr>
      </w:pPr>
      <w:r>
        <w:t xml:space="preserve">What’s a new patient worth to you, roughly, over the first year?</w:t>
      </w:r>
    </w:p>
    <w:p>
      <w:pPr>
        <w:pStyle w:val="ListParagraph"/>
        <w:numPr>
          <w:ilvl w:val="0"/>
          <w:numId w:val="2"/>
        </w:numPr>
      </w:pPr>
      <w:r>
        <w:t xml:space="preserve">How many new patients a month could you take on right now without breaking anything?</w:t>
      </w:r>
    </w:p>
    <w:p>
      <w:pPr>
        <w:pStyle w:val="ListParagraph"/>
        <w:numPr>
          <w:ilvl w:val="0"/>
          <w:numId w:val="2"/>
        </w:numPr>
      </w:pPr>
      <w:r>
        <w:t xml:space="preserve">What does an empty slot on the schedule cost you?</w:t>
      </w:r>
    </w:p>
    <w:p>
      <w:pPr>
        <w:spacing w:after="150"/>
      </w:pPr>
      <w:r>
        <w:rPr>
          <w:color w:val="5A5A5A"/>
          <w:sz w:val="19"/>
          <w:szCs w:val="19"/>
        </w:rPr>
        <w:t xml:space="preserve">Trevor writes these down. You will say them back in Part 5 and the price will justify itself. If a patient is worth $1,200 and they can take fifteen more a month, nobody argues about $2,000.</w:t>
      </w:r>
    </w:p>
    <w:p>
      <w:pPr>
        <w:pStyle w:val="SubHead"/>
      </w:pPr>
      <w:r>
        <w:t xml:space="preserve">The bar — Jordan closes discovery</w:t>
      </w:r>
    </w:p>
    <w:p>
      <w:pPr>
        <w:pStyle w:val="ListParagraph"/>
        <w:numPr>
          <w:ilvl w:val="0"/>
          <w:numId w:val="2"/>
        </w:numPr>
      </w:pPr>
      <w:r>
        <w:t xml:space="preserve">If we’re sitting here six months from now and this worked — what happened?</w:t>
      </w:r>
    </w:p>
    <w:p>
      <w:pPr>
        <w:pStyle w:val="ListParagraph"/>
        <w:numPr>
          <w:ilvl w:val="0"/>
          <w:numId w:val="2"/>
        </w:numPr>
      </w:pPr>
      <w:r>
        <w:t xml:space="preserve">Is there anyone else involved in a decision like this?</w:t>
      </w:r>
    </w:p>
    <w:p>
      <w:pPr>
        <w:spacing w:after="150"/>
      </w:pPr>
      <w:r>
        <w:rPr>
          <w:color w:val="5A5A5A"/>
          <w:sz w:val="19"/>
          <w:szCs w:val="19"/>
        </w:rPr>
        <w:t xml:space="preserve">That last question saves you a second call. Ask it before the pitch, not after.</w:t>
      </w:r>
    </w:p>
    <w:p>
      <w:pPr>
        <w:pageBreakBefore/>
      </w:pPr>
    </w:p>
    <w:p>
      <w:pPr>
        <w:pStyle w:val="SectionHead"/>
      </w:pPr>
      <w:r>
        <w:t xml:space="preserve">Part 4 — How the system works (Jordan, 90 seconds)</w:t>
      </w:r>
    </w:p>
    <w:p>
      <w:pPr>
        <w:pBdr>
          <w:left w:val="single" w:color="C9C2B6" w:sz="12" w:space="12"/>
        </w:pBdr>
        <w:spacing w:after="130"/>
        <w:ind w:left="300"/>
      </w:pPr>
      <w:r>
        <w:rPr>
          <w:b/>
          <w:bCs/>
        </w:rPr>
        <w:t xml:space="preserve">JORDAN: </w:t>
      </w:r>
      <w:r>
        <w:rPr>
          <w:i/>
          <w:iCs/>
        </w:rPr>
        <w:t xml:space="preserve">Here’s what I’m hearing: you’re getting interest, but leads land in an inbox on a Friday night and by Monday they’ve already booked somewhere else. That gap between when someone raises their hand and when someone talks to them is where almost all the money leaks out. That’s the exact problem we built around.</w:t>
      </w:r>
    </w:p>
    <w:p>
      <w:pPr>
        <w:pBdr>
          <w:left w:val="single" w:color="C9C2B6" w:sz="12" w:space="12"/>
        </w:pBdr>
        <w:spacing w:after="130"/>
        <w:ind w:left="300"/>
      </w:pPr>
      <w:r>
        <w:rPr>
          <w:b/>
          <w:bCs/>
        </w:rPr>
        <w:t xml:space="preserve">JORDAN: </w:t>
      </w:r>
      <w:r>
        <w:rPr>
          <w:i/>
          <w:iCs/>
        </w:rPr>
        <w:t xml:space="preserve">Three parts. One: targeted ads that put your practice in front of local patients actively looking for what you do — not people scrolling for entertainment. Two: the moment someone raises their hand, they get contacted and screened automatically, in your name, within seconds. Not an hour. Seconds. And we keep following up so nobody falls through. Three: the ones who are qualified and actually want care get booked onto your calendar. You open your schedule and there are real appointments on it.</w:t>
      </w:r>
    </w:p>
    <w:p>
      <w:pPr>
        <w:pBdr>
          <w:left w:val="single" w:color="C9C2B6" w:sz="12" w:space="12"/>
        </w:pBdr>
        <w:spacing w:after="130"/>
        <w:ind w:left="300"/>
      </w:pPr>
      <w:r>
        <w:rPr>
          <w:b/>
          <w:bCs/>
        </w:rPr>
        <w:t xml:space="preserve">JORDAN: </w:t>
      </w:r>
      <w:r>
        <w:rPr>
          <w:i/>
          <w:iCs/>
        </w:rPr>
        <w:t xml:space="preserve">Your job in that whole chain is one thing: show up and take great care of them. Everything before that is ours.</w:t>
      </w:r>
    </w:p>
    <w:p>
      <w:pPr>
        <w:spacing w:after="150"/>
      </w:pPr>
      <w:r>
        <w:rPr>
          <w:color w:val="5A5A5A"/>
          <w:sz w:val="19"/>
          <w:szCs w:val="19"/>
        </w:rPr>
        <w:t xml:space="preserve">If they go quiet, Jordan asks: “Where does that break down against how it works for you today?” Let them find the gap themselves.</w:t>
      </w:r>
    </w:p>
    <w:p>
      <w:pPr>
        <w:pStyle w:val="SectionHead"/>
      </w:pPr>
      <w:r>
        <w:t xml:space="preserve">Part 5 — The offer (Trevor)</w:t>
      </w:r>
    </w:p>
    <w:p>
      <w:pPr>
        <w:pBdr>
          <w:left w:val="single" w:color="C9C2B6" w:sz="12" w:space="12"/>
        </w:pBdr>
        <w:spacing w:after="130"/>
        <w:ind w:left="300"/>
      </w:pPr>
      <w:r>
        <w:rPr>
          <w:b/>
          <w:bCs/>
        </w:rPr>
        <w:t xml:space="preserve">JORDAN: </w:t>
      </w:r>
      <w:r>
        <w:rPr>
          <w:i/>
          <w:iCs/>
        </w:rPr>
        <w:t xml:space="preserve">Trevor, do you want to walk him through what this looks like to get started?</w:t>
      </w:r>
    </w:p>
    <w:p>
      <w:pPr>
        <w:pBdr>
          <w:left w:val="single" w:color="C9C2B6" w:sz="12" w:space="12"/>
        </w:pBdr>
        <w:spacing w:after="130"/>
        <w:ind w:left="300"/>
      </w:pPr>
      <w:r>
        <w:rPr>
          <w:b/>
          <w:bCs/>
        </w:rPr>
        <w:t xml:space="preserve">TREVOR: </w:t>
      </w:r>
      <w:r>
        <w:rPr>
          <w:i/>
          <w:iCs/>
        </w:rPr>
        <w:t xml:space="preserve">It’s two thousand a month, flat. No setup fee, no build fee, no percentage of your revenue. Separately, you fund the ad spend directly to Meta or Google on your own card — you see every dollar and you control that budget. We never touch your money and we never mark it up.</w:t>
      </w:r>
    </w:p>
    <w:p>
      <w:pPr>
        <w:pBdr>
          <w:left w:val="single" w:color="C9C2B6" w:sz="12" w:space="12"/>
        </w:pBdr>
        <w:spacing w:after="130"/>
        <w:ind w:left="300"/>
      </w:pPr>
      <w:r>
        <w:rPr>
          <w:b/>
          <w:bCs/>
        </w:rPr>
        <w:t xml:space="preserve">TREVOR: </w:t>
      </w:r>
      <w:r>
        <w:rPr>
          <w:i/>
          <w:iCs/>
        </w:rPr>
        <w:t xml:space="preserve">We ask for three months to start. Not to trap you — the first few weeks are learning, and it takes about that long before what we’re seeing is a real read instead of noise. After that you’re month to month, thirty days notice, cancel whenever it stops making sense.</w:t>
      </w:r>
    </w:p>
    <w:p>
      <w:pPr>
        <w:spacing w:after="150"/>
      </w:pPr>
      <w:r>
        <w:rPr>
          <w:color w:val="5A5A5A"/>
          <w:sz w:val="19"/>
          <w:szCs w:val="19"/>
        </w:rPr>
        <w:t xml:space="preserve">Then Trevor does their math out loud, using their own numbers:</w:t>
      </w:r>
    </w:p>
    <w:p>
      <w:pPr>
        <w:pBdr>
          <w:left w:val="single" w:color="C9C2B6" w:sz="12" w:space="12"/>
        </w:pBdr>
        <w:spacing w:after="130"/>
        <w:ind w:left="300"/>
      </w:pPr>
      <w:r>
        <w:rPr>
          <w:b/>
          <w:bCs/>
        </w:rPr>
        <w:t xml:space="preserve">TREVOR: </w:t>
      </w:r>
      <w:r>
        <w:rPr>
          <w:i/>
          <w:iCs/>
        </w:rPr>
        <w:t xml:space="preserve">You told me a patient’s worth about [$X] to you in the first year. So at two thousand a month, this pays for itself at roughly [N] patients. Everything past that is yours. Does that math work the way it works in my head?</w:t>
      </w:r>
    </w:p>
    <w:p>
      <w:pPr>
        <w:spacing w:after="150"/>
      </w:pPr>
      <w:r>
        <w:rPr>
          <w:color w:val="5A5A5A"/>
          <w:sz w:val="19"/>
          <w:szCs w:val="19"/>
        </w:rPr>
        <w:t xml:space="preserve">Silence. Neither of you fills it. The next person to talk sets the terms — and it should be them.</w:t>
      </w:r>
    </w:p>
    <w:p>
      <w:pPr>
        <w:pStyle w:val="SectionHead"/>
      </w:pPr>
      <w:r>
        <w:t xml:space="preserve">Part 6 — Objections, and who takes them</w:t>
      </w:r>
    </w:p>
    <w:p>
      <w:pPr>
        <w:spacing w:after="150"/>
      </w:pPr>
      <w:r>
        <w:rPr>
          <w:color w:val="5A5A5A"/>
          <w:sz w:val="19"/>
          <w:szCs w:val="19"/>
        </w:rPr>
        <w:t xml:space="preserve">Whoever owns it answers it. The other person stays quiet, then adds one sentence only if it genuinely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842"/>
        <w:gridCol w:w="6271"/>
      </w:tblGrid>
      <w:tr>
        <w:trPr>
          <w:tblHeader/>
        </w:trPr>
        <w:tc>
          <w:tcPr>
            <w:tcW w:type="dxa" w:w="2246"/>
            <w:shd w:fill="F2F0EC" w:color="auto" w:val="clear"/>
            <w:tcMar>
              <w:top w:type="dxa" w:w="100"/>
              <w:left w:type="dxa" w:w="130"/>
              <w:bottom w:type="dxa" w:w="100"/>
              <w:right w:type="dxa" w:w="130"/>
            </w:tcMar>
          </w:tcPr>
          <w:p>
            <w:pPr>
              <w:spacing w:after="0"/>
            </w:pPr>
            <w:r>
              <w:rPr>
                <w:b/>
                <w:bCs/>
                <w:sz w:val="19"/>
                <w:szCs w:val="19"/>
              </w:rPr>
              <w:t xml:space="preserve">What they say</w:t>
            </w:r>
          </w:p>
        </w:tc>
        <w:tc>
          <w:tcPr>
            <w:tcW w:type="dxa" w:w="842"/>
            <w:shd w:fill="F2F0EC" w:color="auto" w:val="clear"/>
            <w:tcMar>
              <w:top w:type="dxa" w:w="100"/>
              <w:left w:type="dxa" w:w="130"/>
              <w:bottom w:type="dxa" w:w="100"/>
              <w:right w:type="dxa" w:w="130"/>
            </w:tcMar>
          </w:tcPr>
          <w:p>
            <w:pPr>
              <w:spacing w:after="0"/>
            </w:pPr>
            <w:r>
              <w:rPr>
                <w:b/>
                <w:bCs/>
                <w:sz w:val="19"/>
                <w:szCs w:val="19"/>
              </w:rPr>
              <w:t xml:space="preserve">Who</w:t>
            </w:r>
          </w:p>
        </w:tc>
        <w:tc>
          <w:tcPr>
            <w:tcW w:type="dxa" w:w="6271"/>
            <w:shd w:fill="F2F0EC" w:color="auto" w:val="clear"/>
            <w:tcMar>
              <w:top w:type="dxa" w:w="100"/>
              <w:left w:type="dxa" w:w="130"/>
              <w:bottom w:type="dxa" w:w="100"/>
              <w:right w:type="dxa" w:w="130"/>
            </w:tcMar>
          </w:tcPr>
          <w:p>
            <w:pPr>
              <w:spacing w:after="0"/>
            </w:pPr>
            <w:r>
              <w:rPr>
                <w:b/>
                <w:bCs/>
                <w:sz w:val="19"/>
                <w:szCs w:val="19"/>
              </w:rPr>
              <w:t xml:space="preserve">What you say</w:t>
            </w:r>
          </w:p>
        </w:tc>
      </w:tr>
      <w:tr>
        <w:tc>
          <w:tcPr>
            <w:tcW w:type="dxa" w:w="2246"/>
            <w:tcMar>
              <w:top w:type="dxa" w:w="100"/>
              <w:left w:type="dxa" w:w="130"/>
              <w:bottom w:type="dxa" w:w="100"/>
              <w:right w:type="dxa" w:w="130"/>
            </w:tcMar>
          </w:tcPr>
          <w:p>
            <w:pPr>
              <w:spacing w:after="0"/>
            </w:pPr>
            <w:r>
              <w:rPr>
                <w:b w:val="false"/>
                <w:bCs w:val="false"/>
                <w:sz w:val="19"/>
                <w:szCs w:val="19"/>
              </w:rPr>
              <w:t xml:space="preserve">“It’s too expensive.”</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I hear you. Let me ask it a different way — you said a patient’s worth about [$X]. So the question isn’t whether two thousand is a lot of money, it’s whether we can get you [N] patients a month. If we can, this is the cheapest thing on your P&amp;L. If we can’t, you should fire us in ninety days and I’d tell you to.</w:t>
            </w:r>
          </w:p>
        </w:tc>
      </w:tr>
      <w:tr>
        <w:tc>
          <w:tcPr>
            <w:tcW w:type="dxa" w:w="2246"/>
            <w:tcMar>
              <w:top w:type="dxa" w:w="100"/>
              <w:left w:type="dxa" w:w="130"/>
              <w:bottom w:type="dxa" w:w="100"/>
              <w:right w:type="dxa" w:w="130"/>
            </w:tcMar>
          </w:tcPr>
          <w:p>
            <w:pPr>
              <w:spacing w:after="0"/>
            </w:pPr>
            <w:r>
              <w:rPr>
                <w:b w:val="false"/>
                <w:bCs w:val="false"/>
                <w:sz w:val="19"/>
                <w:szCs w:val="19"/>
              </w:rPr>
              <w:t xml:space="preserve">“Can you guarantee results?”</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No, and I wouldn’t trust anyone who does. Too much depends on your market, your pricing, and honestly how fast your team follows up. What I’ll commit to is that we build it right, we watch it weekly, and you see every number every month — including the ugly ones. If it isn’t working you’ll hear it from us before you have to ask.</w:t>
            </w:r>
          </w:p>
        </w:tc>
      </w:tr>
      <w:tr>
        <w:tc>
          <w:tcPr>
            <w:tcW w:type="dxa" w:w="2246"/>
            <w:tcMar>
              <w:top w:type="dxa" w:w="100"/>
              <w:left w:type="dxa" w:w="130"/>
              <w:bottom w:type="dxa" w:w="100"/>
              <w:right w:type="dxa" w:w="130"/>
            </w:tcMar>
          </w:tcPr>
          <w:p>
            <w:pPr>
              <w:spacing w:after="0"/>
            </w:pPr>
            <w:r>
              <w:rPr>
                <w:b w:val="false"/>
                <w:bCs w:val="false"/>
                <w:sz w:val="19"/>
                <w:szCs w:val="19"/>
              </w:rPr>
              <w:t xml:space="preserve">“I tried an agency before and it didn’t work.”</w:t>
            </w:r>
          </w:p>
        </w:tc>
        <w:tc>
          <w:tcPr>
            <w:tcW w:type="dxa" w:w="842"/>
            <w:tcMar>
              <w:top w:type="dxa" w:w="100"/>
              <w:left w:type="dxa" w:w="130"/>
              <w:bottom w:type="dxa" w:w="100"/>
              <w:right w:type="dxa" w:w="130"/>
            </w:tcMar>
          </w:tcPr>
          <w:p>
            <w:pPr>
              <w:spacing w:after="0"/>
            </w:pPr>
            <w:r>
              <w:rPr>
                <w:b w:val="false"/>
                <w:bCs w:val="false"/>
                <w:sz w:val="19"/>
                <w:szCs w:val="19"/>
              </w:rPr>
              <w:t xml:space="preserve">Jordan</w:t>
            </w:r>
          </w:p>
        </w:tc>
        <w:tc>
          <w:tcPr>
            <w:tcW w:type="dxa" w:w="6271"/>
            <w:tcMar>
              <w:top w:type="dxa" w:w="100"/>
              <w:left w:type="dxa" w:w="130"/>
              <w:bottom w:type="dxa" w:w="100"/>
              <w:right w:type="dxa" w:w="130"/>
            </w:tcMar>
          </w:tcPr>
          <w:p>
            <w:pPr>
              <w:spacing w:after="0"/>
            </w:pPr>
            <w:r>
              <w:rPr>
                <w:b w:val="false"/>
                <w:bCs w:val="false"/>
                <w:sz w:val="19"/>
                <w:szCs w:val="19"/>
              </w:rPr>
              <w:t xml:space="preserve">What happened? … Yeah, that’s the usual story: they ran ads, sent you a spreadsheet, and nobody ever actually talked to the people who raised their hand. Ads are the easy half. The half nobody does is contacting and screening every inquiry in seconds and getting them on your calendar. That’s the part we actually built.</w:t>
            </w:r>
          </w:p>
        </w:tc>
      </w:tr>
      <w:tr>
        <w:tc>
          <w:tcPr>
            <w:tcW w:type="dxa" w:w="2246"/>
            <w:tcMar>
              <w:top w:type="dxa" w:w="100"/>
              <w:left w:type="dxa" w:w="130"/>
              <w:bottom w:type="dxa" w:w="100"/>
              <w:right w:type="dxa" w:w="130"/>
            </w:tcMar>
          </w:tcPr>
          <w:p>
            <w:pPr>
              <w:spacing w:after="0"/>
            </w:pPr>
            <w:r>
              <w:rPr>
                <w:b w:val="false"/>
                <w:bCs w:val="false"/>
                <w:sz w:val="19"/>
                <w:szCs w:val="19"/>
              </w:rPr>
              <w:t xml:space="preserve">“How do I know you won’t disappear after I sign?”</w:t>
            </w:r>
          </w:p>
        </w:tc>
        <w:tc>
          <w:tcPr>
            <w:tcW w:type="dxa" w:w="842"/>
            <w:tcMar>
              <w:top w:type="dxa" w:w="100"/>
              <w:left w:type="dxa" w:w="130"/>
              <w:bottom w:type="dxa" w:w="100"/>
              <w:right w:type="dxa" w:w="130"/>
            </w:tcMar>
          </w:tcPr>
          <w:p>
            <w:pPr>
              <w:spacing w:after="0"/>
            </w:pPr>
            <w:r>
              <w:rPr>
                <w:b w:val="false"/>
                <w:bCs w:val="false"/>
                <w:sz w:val="19"/>
                <w:szCs w:val="19"/>
              </w:rPr>
              <w:t xml:space="preserve">Jordan</w:t>
            </w:r>
          </w:p>
        </w:tc>
        <w:tc>
          <w:tcPr>
            <w:tcW w:type="dxa" w:w="6271"/>
            <w:tcMar>
              <w:top w:type="dxa" w:w="100"/>
              <w:left w:type="dxa" w:w="130"/>
              <w:bottom w:type="dxa" w:w="100"/>
              <w:right w:type="dxa" w:w="130"/>
            </w:tcMar>
          </w:tcPr>
          <w:p>
            <w:pPr>
              <w:spacing w:after="0"/>
            </w:pPr>
            <w:r>
              <w:rPr>
                <w:b w:val="false"/>
                <w:bCs w:val="false"/>
                <w:sz w:val="19"/>
                <w:szCs w:val="19"/>
              </w:rPr>
              <w:t xml:space="preserve">That’s a fair worry and it’s why I’m on this call instead of meeting you after the paperwork. I’m not a support ticket — I run your account. I send you the numbers every month and I’m on the phone with you whether things are great or ugly. You’ll have my cell.</w:t>
            </w:r>
          </w:p>
        </w:tc>
      </w:tr>
      <w:tr>
        <w:tc>
          <w:tcPr>
            <w:tcW w:type="dxa" w:w="2246"/>
            <w:tcMar>
              <w:top w:type="dxa" w:w="100"/>
              <w:left w:type="dxa" w:w="130"/>
              <w:bottom w:type="dxa" w:w="100"/>
              <w:right w:type="dxa" w:w="130"/>
            </w:tcMar>
          </w:tcPr>
          <w:p>
            <w:pPr>
              <w:spacing w:after="0"/>
            </w:pPr>
            <w:r>
              <w:rPr>
                <w:b w:val="false"/>
                <w:bCs w:val="false"/>
                <w:sz w:val="19"/>
                <w:szCs w:val="19"/>
              </w:rPr>
              <w:t xml:space="preserve">“Do you understand HIPAA and the advertising rules?”</w:t>
            </w:r>
          </w:p>
        </w:tc>
        <w:tc>
          <w:tcPr>
            <w:tcW w:type="dxa" w:w="842"/>
            <w:tcMar>
              <w:top w:type="dxa" w:w="100"/>
              <w:left w:type="dxa" w:w="130"/>
              <w:bottom w:type="dxa" w:w="100"/>
              <w:right w:type="dxa" w:w="130"/>
            </w:tcMar>
          </w:tcPr>
          <w:p>
            <w:pPr>
              <w:spacing w:after="0"/>
            </w:pPr>
            <w:r>
              <w:rPr>
                <w:b w:val="false"/>
                <w:bCs w:val="false"/>
                <w:sz w:val="19"/>
                <w:szCs w:val="19"/>
              </w:rPr>
              <w:t xml:space="preserve">Jordan</w:t>
            </w:r>
          </w:p>
        </w:tc>
        <w:tc>
          <w:tcPr>
            <w:tcW w:type="dxa" w:w="6271"/>
            <w:tcMar>
              <w:top w:type="dxa" w:w="100"/>
              <w:left w:type="dxa" w:w="130"/>
              <w:bottom w:type="dxa" w:w="100"/>
              <w:right w:type="dxa" w:w="130"/>
            </w:tcMar>
          </w:tcPr>
          <w:p>
            <w:pPr>
              <w:spacing w:after="0"/>
            </w:pPr>
            <w:r>
              <w:rPr>
                <w:b w:val="false"/>
                <w:bCs w:val="false"/>
                <w:sz w:val="19"/>
                <w:szCs w:val="19"/>
              </w:rPr>
              <w:t xml:space="preserve">Yes, and it’s why we niched here. Your scope of practice, prescriptive authority, and any supervision disclosures your state requires are part of what we review before we write a word of copy. We’re built to minimize touching patient health information at all, and where it’s unavoidable we operate under a signed business associate agreement.</w:t>
            </w:r>
          </w:p>
        </w:tc>
      </w:tr>
      <w:tr>
        <w:tc>
          <w:tcPr>
            <w:tcW w:type="dxa" w:w="2246"/>
            <w:tcMar>
              <w:top w:type="dxa" w:w="100"/>
              <w:left w:type="dxa" w:w="130"/>
              <w:bottom w:type="dxa" w:w="100"/>
              <w:right w:type="dxa" w:w="130"/>
            </w:tcMar>
          </w:tcPr>
          <w:p>
            <w:pPr>
              <w:spacing w:after="0"/>
            </w:pPr>
            <w:r>
              <w:rPr>
                <w:b w:val="false"/>
                <w:bCs w:val="false"/>
                <w:sz w:val="19"/>
                <w:szCs w:val="19"/>
              </w:rPr>
              <w:t xml:space="preserve">“What if you make a mistake that creates a compliance problem for me?”</w:t>
            </w:r>
          </w:p>
        </w:tc>
        <w:tc>
          <w:tcPr>
            <w:tcW w:type="dxa" w:w="842"/>
            <w:tcMar>
              <w:top w:type="dxa" w:w="100"/>
              <w:left w:type="dxa" w:w="130"/>
              <w:bottom w:type="dxa" w:w="100"/>
              <w:right w:type="dxa" w:w="130"/>
            </w:tcMar>
          </w:tcPr>
          <w:p>
            <w:pPr>
              <w:spacing w:after="0"/>
            </w:pPr>
            <w:r>
              <w:rPr>
                <w:b w:val="false"/>
                <w:bCs w:val="false"/>
                <w:sz w:val="19"/>
                <w:szCs w:val="19"/>
              </w:rPr>
              <w:t xml:space="preserve">Jordan</w:t>
            </w:r>
          </w:p>
        </w:tc>
        <w:tc>
          <w:tcPr>
            <w:tcW w:type="dxa" w:w="6271"/>
            <w:tcMar>
              <w:top w:type="dxa" w:w="100"/>
              <w:left w:type="dxa" w:w="130"/>
              <w:bottom w:type="dxa" w:w="100"/>
              <w:right w:type="dxa" w:w="130"/>
            </w:tcMar>
          </w:tcPr>
          <w:p>
            <w:pPr>
              <w:spacing w:after="0"/>
            </w:pPr>
            <w:r>
              <w:rPr>
                <w:b w:val="false"/>
                <w:bCs w:val="false"/>
                <w:sz w:val="19"/>
                <w:szCs w:val="19"/>
              </w:rPr>
              <w:t xml:space="preserve">Every piece of copy and every landing page gets a compliance review before it publishes — that step exists specifically to catch things before they become your problem. And I’ll always be straight with you: we’re a marketing company, not your attorney, and you’re the final approver on any claim about your practice. That’s written plainly into the agreement so nothing surprises you later.</w:t>
            </w:r>
          </w:p>
        </w:tc>
      </w:tr>
      <w:tr>
        <w:tc>
          <w:tcPr>
            <w:tcW w:type="dxa" w:w="2246"/>
            <w:tcMar>
              <w:top w:type="dxa" w:w="100"/>
              <w:left w:type="dxa" w:w="130"/>
              <w:bottom w:type="dxa" w:w="100"/>
              <w:right w:type="dxa" w:w="130"/>
            </w:tcMar>
          </w:tcPr>
          <w:p>
            <w:pPr>
              <w:spacing w:after="0"/>
            </w:pPr>
            <w:r>
              <w:rPr>
                <w:b w:val="false"/>
                <w:bCs w:val="false"/>
                <w:sz w:val="19"/>
                <w:szCs w:val="19"/>
              </w:rPr>
              <w:t xml:space="preserve">“I need to think about it.”</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Totally fair — what specifically do you want to think through? … [Answer it.] … If we solved that, is there anything else standing between you and starting?</w:t>
            </w:r>
          </w:p>
        </w:tc>
      </w:tr>
      <w:tr>
        <w:tc>
          <w:tcPr>
            <w:tcW w:type="dxa" w:w="2246"/>
            <w:tcMar>
              <w:top w:type="dxa" w:w="100"/>
              <w:left w:type="dxa" w:w="130"/>
              <w:bottom w:type="dxa" w:w="100"/>
              <w:right w:type="dxa" w:w="130"/>
            </w:tcMar>
          </w:tcPr>
          <w:p>
            <w:pPr>
              <w:spacing w:after="0"/>
            </w:pPr>
            <w:r>
              <w:rPr>
                <w:b w:val="false"/>
                <w:bCs w:val="false"/>
                <w:sz w:val="19"/>
                <w:szCs w:val="19"/>
              </w:rPr>
              <w:t xml:space="preserve">“I need to talk to my partner / collaborating physician.”</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Makes sense. Let’s get them on a fifteen-minute call this week so they can ask us directly instead of getting it secondhand — what does Thursday look like for the two of you?</w:t>
            </w:r>
          </w:p>
        </w:tc>
      </w:tr>
      <w:tr>
        <w:tc>
          <w:tcPr>
            <w:tcW w:type="dxa" w:w="2246"/>
            <w:tcMar>
              <w:top w:type="dxa" w:w="100"/>
              <w:left w:type="dxa" w:w="130"/>
              <w:bottom w:type="dxa" w:w="100"/>
              <w:right w:type="dxa" w:w="130"/>
            </w:tcMar>
          </w:tcPr>
          <w:p>
            <w:pPr>
              <w:spacing w:after="0"/>
            </w:pPr>
            <w:r>
              <w:rPr>
                <w:b w:val="false"/>
                <w:bCs w:val="false"/>
                <w:sz w:val="19"/>
                <w:szCs w:val="19"/>
              </w:rPr>
              <w:t xml:space="preserve">“Can I start with a smaller budget?”</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We can start lean, but let me be honest about the floor — under a certain spend in your market the platform never gets enough data to learn, and you end up paying for a test that could never work. Let me show you what I’d consider the minimum here and why.</w:t>
            </w:r>
          </w:p>
        </w:tc>
      </w:tr>
      <w:tr>
        <w:tc>
          <w:tcPr>
            <w:tcW w:type="dxa" w:w="2246"/>
            <w:tcMar>
              <w:top w:type="dxa" w:w="100"/>
              <w:left w:type="dxa" w:w="130"/>
              <w:bottom w:type="dxa" w:w="100"/>
              <w:right w:type="dxa" w:w="130"/>
            </w:tcMar>
          </w:tcPr>
          <w:p>
            <w:pPr>
              <w:spacing w:after="0"/>
            </w:pPr>
            <w:r>
              <w:rPr>
                <w:b w:val="false"/>
                <w:bCs w:val="false"/>
                <w:sz w:val="19"/>
                <w:szCs w:val="19"/>
              </w:rPr>
              <w:t xml:space="preserve">“Just send me some information.”</w:t>
            </w:r>
          </w:p>
        </w:tc>
        <w:tc>
          <w:tcPr>
            <w:tcW w:type="dxa" w:w="842"/>
            <w:tcMar>
              <w:top w:type="dxa" w:w="100"/>
              <w:left w:type="dxa" w:w="130"/>
              <w:bottom w:type="dxa" w:w="100"/>
              <w:right w:type="dxa" w:w="130"/>
            </w:tcMar>
          </w:tcPr>
          <w:p>
            <w:pPr>
              <w:spacing w:after="0"/>
            </w:pPr>
            <w:r>
              <w:rPr>
                <w:b w:val="false"/>
                <w:bCs w:val="false"/>
                <w:sz w:val="19"/>
                <w:szCs w:val="19"/>
              </w:rPr>
              <w:t xml:space="preserve">Trevor</w:t>
            </w:r>
          </w:p>
        </w:tc>
        <w:tc>
          <w:tcPr>
            <w:tcW w:type="dxa" w:w="6271"/>
            <w:tcMar>
              <w:top w:type="dxa" w:w="100"/>
              <w:left w:type="dxa" w:w="130"/>
              <w:bottom w:type="dxa" w:w="100"/>
              <w:right w:type="dxa" w:w="130"/>
            </w:tcMar>
          </w:tcPr>
          <w:p>
            <w:pPr>
              <w:spacing w:after="0"/>
            </w:pPr>
            <w:r>
              <w:rPr>
                <w:b w:val="false"/>
                <w:bCs w:val="false"/>
                <w:sz w:val="19"/>
                <w:szCs w:val="19"/>
              </w:rPr>
              <w:t xml:space="preserve">Happy to — we’ll send the agreement and the scope right after this. But information usually isn’t what decides it. What’s the actual question you want answered before you’d say yes?</w:t>
            </w:r>
          </w:p>
        </w:tc>
      </w:tr>
    </w:tbl>
    <w:p>
      <w:pPr>
        <w:pageBreakBefore/>
      </w:pPr>
    </w:p>
    <w:p>
      <w:pPr>
        <w:pStyle w:val="SectionHead"/>
      </w:pPr>
      <w:r>
        <w:t xml:space="preserve">Part 7 — The close (Trevor asks, Jordan lands it)</w:t>
      </w:r>
    </w:p>
    <w:p>
      <w:pPr>
        <w:spacing w:after="150"/>
      </w:pPr>
      <w:r>
        <w:rPr>
          <w:color w:val="5A5A5A"/>
          <w:sz w:val="19"/>
          <w:szCs w:val="19"/>
        </w:rPr>
        <w:t xml:space="preserve">Trevor asks directly. No trailing off, no “so, yeah.” Ask, then stop talking.</w:t>
      </w:r>
    </w:p>
    <w:p>
      <w:pPr>
        <w:pBdr>
          <w:left w:val="single" w:color="C9C2B6" w:sz="12" w:space="12"/>
        </w:pBdr>
        <w:spacing w:after="130"/>
        <w:ind w:left="300"/>
      </w:pPr>
      <w:r>
        <w:rPr>
          <w:b/>
          <w:bCs/>
        </w:rPr>
        <w:t xml:space="preserve">TREVOR: </w:t>
      </w:r>
      <w:r>
        <w:rPr>
          <w:i/>
          <w:iCs/>
        </w:rPr>
        <w:t xml:space="preserve">I think this is a fit and we’d like to work with you. Here’s what happens next: we send two documents — the agreement and the scope of work — you sign both electronically, and the first payment starts the build. Jordan gets you on the calendar for kickoff within a couple of days, and we’re usually live inside two weeks. Want us to send those over?</w:t>
      </w:r>
    </w:p>
    <w:p>
      <w:pPr>
        <w:spacing w:after="150"/>
      </w:pPr>
      <w:r>
        <w:rPr>
          <w:color w:val="5A5A5A"/>
          <w:sz w:val="19"/>
          <w:szCs w:val="19"/>
        </w:rPr>
        <w:t xml:space="preserve">The moment they say yes, Jordan takes it — this is the handoff that makes the relationship feel real:</w:t>
      </w:r>
    </w:p>
    <w:p>
      <w:pPr>
        <w:pBdr>
          <w:left w:val="single" w:color="C9C2B6" w:sz="12" w:space="12"/>
        </w:pBdr>
        <w:spacing w:after="130"/>
        <w:ind w:left="300"/>
      </w:pPr>
      <w:r>
        <w:rPr>
          <w:b/>
          <w:bCs/>
        </w:rPr>
        <w:t xml:space="preserve">JORDAN: </w:t>
      </w:r>
      <w:r>
        <w:rPr>
          <w:i/>
          <w:iCs/>
        </w:rPr>
        <w:t xml:space="preserve">Great. Before we hang up let’s put kickoff on the calendar right now — what does [day] look like? And I’ll send you the onboarding checklist tonight. The faster that comes back, the faster we launch.</w:t>
      </w:r>
    </w:p>
    <w:p>
      <w:pPr>
        <w:spacing w:after="150"/>
      </w:pPr>
      <w:r>
        <w:rPr>
          <w:color w:val="5A5A5A"/>
          <w:sz w:val="19"/>
          <w:szCs w:val="19"/>
        </w:rPr>
        <w:t xml:space="preserve">While you still have them on the phone, Jordan confirms out loud:</w:t>
      </w:r>
    </w:p>
    <w:p>
      <w:pPr>
        <w:pStyle w:val="ListParagraph"/>
        <w:numPr>
          <w:ilvl w:val="0"/>
          <w:numId w:val="2"/>
        </w:numPr>
      </w:pPr>
      <w:r>
        <w:t xml:space="preserve">Signer’s full legal name, entity name, and billing email.</w:t>
      </w:r>
    </w:p>
    <w:p>
      <w:pPr>
        <w:pStyle w:val="ListParagraph"/>
        <w:numPr>
          <w:ilvl w:val="0"/>
          <w:numId w:val="2"/>
        </w:numPr>
      </w:pPr>
      <w:r>
        <w:t xml:space="preserve">Kickoff booked. Never leave it at “we’ll find a time.”</w:t>
      </w:r>
    </w:p>
    <w:p>
      <w:pPr>
        <w:pStyle w:val="ListParagraph"/>
        <w:numPr>
          <w:ilvl w:val="0"/>
          <w:numId w:val="2"/>
        </w:numPr>
      </w:pPr>
      <w:r>
        <w:t xml:space="preserve">Who on their side approves creative, and how fast they can turn it around.</w:t>
      </w:r>
    </w:p>
    <w:p>
      <w:pPr>
        <w:spacing w:after="150"/>
      </w:pPr>
      <w:r>
        <w:rPr>
          <w:color w:val="5A5A5A"/>
          <w:sz w:val="19"/>
          <w:szCs w:val="19"/>
        </w:rPr>
        <w:t xml:space="preserve">If it is not a yes today — Trevor sets a real next step with a date:</w:t>
      </w:r>
    </w:p>
    <w:p>
      <w:pPr>
        <w:pBdr>
          <w:left w:val="single" w:color="C9C2B6" w:sz="12" w:space="12"/>
        </w:pBdr>
        <w:spacing w:after="130"/>
        <w:ind w:left="300"/>
      </w:pPr>
      <w:r>
        <w:rPr>
          <w:b/>
          <w:bCs/>
        </w:rPr>
        <w:t xml:space="preserve">TREVOR: </w:t>
      </w:r>
      <w:r>
        <w:rPr>
          <w:i/>
          <w:iCs/>
        </w:rPr>
        <w:t xml:space="preserve">No problem. What I don’t want is this sitting in an inbox for three weeks. Can we put fifteen minutes on the calendar for [specific day] so you can tell me yes or no? Either answer is fine — I just don’t want to chase you.</w:t>
      </w:r>
    </w:p>
    <w:p>
      <w:pPr>
        <w:pStyle w:val="SectionHead"/>
      </w:pPr>
      <w:r>
        <w:t xml:space="preserve">Part 8 — What Jordan owns after they sign</w:t>
      </w:r>
    </w:p>
    <w:p>
      <w:pPr>
        <w:spacing w:after="150"/>
      </w:pPr>
      <w:r>
        <w:rPr>
          <w:color w:val="5A5A5A"/>
          <w:sz w:val="19"/>
          <w:szCs w:val="19"/>
        </w:rPr>
        <w:t xml:space="preserve">Say this on the call even if they have not signed yet. It is the difference between selling a service and selling a relationship.</w:t>
      </w:r>
    </w:p>
    <w:p>
      <w:pPr>
        <w:pBdr>
          <w:left w:val="single" w:color="C9C2B6" w:sz="12" w:space="12"/>
        </w:pBdr>
        <w:spacing w:after="130"/>
        <w:ind w:left="300"/>
      </w:pPr>
      <w:r>
        <w:rPr>
          <w:b/>
          <w:bCs/>
        </w:rPr>
        <w:t xml:space="preserve">JORDAN: </w:t>
      </w:r>
      <w:r>
        <w:rPr>
          <w:i/>
          <w:iCs/>
        </w:rPr>
        <w:t xml:space="preserve">So you know what working with us actually feels like: every month you get the numbers from me — spend, leads, how many qualified, how many booked, what it cost per appointment — and a call to walk through it in plain English, including what we’re changing next. If something looks off, you hear it from me first, not after you notice it. And if you want something changed on the campaign, you text me. Not a support inbox. Me.</w:t>
      </w:r>
    </w:p>
    <w:p>
      <w:pPr>
        <w:pBdr>
          <w:left w:val="single" w:color="C9C2B6" w:sz="12" w:space="12"/>
        </w:pBdr>
        <w:spacing w:after="130"/>
        <w:ind w:left="300"/>
      </w:pPr>
      <w:r>
        <w:rPr>
          <w:b/>
          <w:bCs/>
        </w:rPr>
        <w:t xml:space="preserve">JORDAN: </w:t>
      </w:r>
      <w:r>
        <w:rPr>
          <w:i/>
          <w:iCs/>
        </w:rPr>
        <w:t xml:space="preserve">First week is: kickoff call, we collect the onboarding items, we draft the offer and creative, you approve, we go live. The only thing I’ll ask of you is fast approvals and enough room on the calendar for the patients we send.</w:t>
      </w:r>
    </w:p>
    <w:p>
      <w:pPr>
        <w:pStyle w:val="SectionHead"/>
      </w:pPr>
      <w:r>
        <w:t xml:space="preserve">Part 9 — Same-day follow-up</w:t>
      </w:r>
    </w:p>
    <w:p>
      <w:pPr>
        <w:spacing w:after="150"/>
      </w:pPr>
      <w:r>
        <w:rPr>
          <w:color w:val="5A5A5A"/>
          <w:sz w:val="19"/>
          <w:szCs w:val="19"/>
        </w:rPr>
        <w:t xml:space="preserve">Both of you send something. Two touches from two people is the cheapest trust you will ever buy.</w:t>
      </w:r>
    </w:p>
    <w:p>
      <w:pPr>
        <w:pStyle w:val="SubHead"/>
      </w:pPr>
      <w:r>
        <w:t xml:space="preserve">Trevor — text within 15 minutes of hanging up</w:t>
      </w:r>
    </w:p>
    <w:p>
      <w:pPr>
        <w:pBdr>
          <w:left w:val="single" w:color="C9C2B6" w:sz="12" w:space="12"/>
        </w:pBdr>
        <w:spacing w:after="130"/>
        <w:ind w:left="300"/>
      </w:pPr>
      <w:r>
        <w:rPr>
          <w:b/>
          <w:bCs/>
        </w:rPr>
        <w:t xml:space="preserve">TREVOR: </w:t>
      </w:r>
      <w:r>
        <w:rPr>
          <w:i/>
          <w:iCs/>
        </w:rPr>
        <w:t xml:space="preserve">[Name] — Trevor at Stay Booked. Good talking with you. Agreement and scope are in your inbox now. Jordan will have kickoff details over shortly. Any question at all, text me here.</w:t>
      </w:r>
    </w:p>
    <w:p>
      <w:pPr>
        <w:pStyle w:val="SubHead"/>
      </w:pPr>
      <w:r>
        <w:t xml:space="preserve">Jordan — email the same hour</w:t>
      </w:r>
    </w:p>
    <w:p>
      <w:pPr>
        <w:pBdr>
          <w:left w:val="single" w:color="C9C2B6" w:sz="12" w:space="12"/>
        </w:pBdr>
        <w:spacing w:after="130"/>
        <w:ind w:left="300"/>
      </w:pPr>
      <w:r>
        <w:rPr>
          <w:b/>
          <w:bCs/>
        </w:rPr>
        <w:t xml:space="preserve">JORDAN: </w:t>
      </w:r>
      <w:r>
        <w:rPr>
          <w:i/>
          <w:iCs/>
        </w:rPr>
        <w:t xml:space="preserve">Subject: Stay Booked — agreement, scope, and your onboarding list</w:t>
      </w:r>
    </w:p>
    <w:p>
      <w:pPr>
        <w:pBdr>
          <w:left w:val="single" w:color="C9C2B6" w:sz="12" w:space="12"/>
        </w:pBdr>
        <w:spacing w:after="130"/>
        <w:ind w:left="300"/>
      </w:pPr>
      <w:r>
        <w:rPr>
          <w:b/>
          <w:bCs/>
        </w:rPr>
        <w:t xml:space="preserve">JORDAN: </w:t>
      </w:r>
      <w:r>
        <w:rPr>
          <w:i/>
          <w:iCs/>
        </w:rPr>
        <w:t xml:space="preserve">[Name], great speaking today. Attached are the Marketing Services Agreement and Statement of Work No. 1. The short version of what we discussed: $2,000/month, no setup fee, ad spend paid by you directly to the platforms, three-month initial term and month-to-month after that. I’ve also attached the onboarding checklist — that’s the one that sets our launch date, so the faster it comes back the faster we’re live. Kickoff is held for [date]. I’m your day-to-day from here, so anything at all comes to me. — Jordan</w:t>
      </w:r>
    </w:p>
    <w:p>
      <w:pPr>
        <w:pStyle w:val="SubHead"/>
      </w:pPr>
      <w:r>
        <w:t xml:space="preserve">If they go quiet — Jordan, day 3</w:t>
      </w:r>
    </w:p>
    <w:p>
      <w:pPr>
        <w:pBdr>
          <w:left w:val="single" w:color="C9C2B6" w:sz="12" w:space="12"/>
        </w:pBdr>
        <w:spacing w:after="130"/>
        <w:ind w:left="300"/>
      </w:pPr>
      <w:r>
        <w:rPr>
          <w:b/>
          <w:bCs/>
        </w:rPr>
        <w:t xml:space="preserve">JORDAN: </w:t>
      </w:r>
      <w:r>
        <w:rPr>
          <w:i/>
          <w:iCs/>
        </w:rPr>
        <w:t xml:space="preserve">[Name] — checking in once, not chasing. Is this a no for now, or just bad timing? Either is a completely fine answer.</w:t>
      </w:r>
    </w:p>
    <w:p>
      <w:pPr>
        <w:spacing w:after="150"/>
      </w:pPr>
      <w:r>
        <w:rPr>
          <w:color w:val="5A5A5A"/>
          <w:sz w:val="19"/>
          <w:szCs w:val="19"/>
        </w:rPr>
        <w:t xml:space="preserve">That message gets more replies than any polite follow-up ever written. Send it once, and mean it.</w:t>
      </w:r>
    </w:p>
    <w:p>
      <w:pPr>
        <w:pStyle w:val="SectionHead"/>
      </w:pPr>
      <w:r>
        <w:t xml:space="preserve">Part 10 — Things neither of you ever says</w:t>
      </w:r>
    </w:p>
    <w:p>
      <w:pPr>
        <w:spacing w:after="150"/>
      </w:pPr>
      <w:r>
        <w:rPr>
          <w:color w:val="5A5A5A"/>
          <w:sz w:val="19"/>
          <w:szCs w:val="19"/>
        </w:rPr>
        <w:t xml:space="preserve">These are not style preferences. Each one contradicts something written in the agreement, and saying it out loud can create a promise the contract says you did not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F2F0EC" w:color="auto" w:val="clear"/>
            <w:tcMar>
              <w:top w:type="dxa" w:w="110"/>
              <w:left w:type="dxa" w:w="140"/>
              <w:bottom w:type="dxa" w:w="110"/>
              <w:right w:type="dxa" w:w="140"/>
            </w:tcMar>
          </w:tcPr>
          <w:p>
            <w:pPr>
              <w:spacing w:after="0"/>
            </w:pPr>
            <w:r>
              <w:rPr>
                <w:b/>
                <w:bCs/>
                <w:sz w:val="20"/>
                <w:szCs w:val="20"/>
              </w:rPr>
              <w:t xml:space="preserve">Never say</w:t>
            </w:r>
          </w:p>
        </w:tc>
        <w:tc>
          <w:tcPr>
            <w:tcW w:type="dxa" w:w="5429"/>
            <w:shd w:fill="F2F0EC" w:color="auto" w:val="clear"/>
            <w:tcMar>
              <w:top w:type="dxa" w:w="110"/>
              <w:left w:type="dxa" w:w="140"/>
              <w:bottom w:type="dxa" w:w="110"/>
              <w:right w:type="dxa" w:w="140"/>
            </w:tcMar>
          </w:tcPr>
          <w:p>
            <w:pPr>
              <w:spacing w:after="0"/>
            </w:pPr>
            <w:r>
              <w:rPr>
                <w:b/>
                <w:bCs/>
                <w:sz w:val="20"/>
                <w:szCs w:val="20"/>
              </w:rPr>
              <w:t xml:space="preserve">Say instead</w:t>
            </w:r>
          </w:p>
        </w:tc>
      </w:tr>
      <w:tr>
        <w:tc>
          <w:tcPr>
            <w:tcW w:type="dxa" w:w="3931"/>
            <w:tcMar>
              <w:top w:type="dxa" w:w="110"/>
              <w:left w:type="dxa" w:w="140"/>
              <w:bottom w:type="dxa" w:w="110"/>
              <w:right w:type="dxa" w:w="140"/>
            </w:tcMar>
          </w:tcPr>
          <w:p>
            <w:pPr>
              <w:spacing w:after="0"/>
            </w:pPr>
            <w:r>
              <w:rPr>
                <w:b w:val="false"/>
                <w:bCs w:val="false"/>
                <w:sz w:val="20"/>
                <w:szCs w:val="20"/>
              </w:rPr>
              <w:t xml:space="preserve">“We guarantee you X patients a month.”</w:t>
            </w:r>
          </w:p>
        </w:tc>
        <w:tc>
          <w:tcPr>
            <w:tcW w:type="dxa" w:w="5429"/>
            <w:tcMar>
              <w:top w:type="dxa" w:w="110"/>
              <w:left w:type="dxa" w:w="140"/>
              <w:bottom w:type="dxa" w:w="110"/>
              <w:right w:type="dxa" w:w="140"/>
            </w:tcMar>
          </w:tcPr>
          <w:p>
            <w:pPr>
              <w:spacing w:after="0"/>
            </w:pPr>
            <w:r>
              <w:rPr>
                <w:b w:val="false"/>
                <w:bCs w:val="false"/>
                <w:sz w:val="20"/>
                <w:szCs w:val="20"/>
              </w:rPr>
              <w:t xml:space="preserve">“We don’t guarantee results. Here’s what we commit to, and here’s how you’ll see it every month.”</w:t>
            </w:r>
          </w:p>
        </w:tc>
      </w:tr>
      <w:tr>
        <w:tc>
          <w:tcPr>
            <w:tcW w:type="dxa" w:w="3931"/>
            <w:tcMar>
              <w:top w:type="dxa" w:w="110"/>
              <w:left w:type="dxa" w:w="140"/>
              <w:bottom w:type="dxa" w:w="110"/>
              <w:right w:type="dxa" w:w="140"/>
            </w:tcMar>
          </w:tcPr>
          <w:p>
            <w:pPr>
              <w:spacing w:after="0"/>
            </w:pPr>
            <w:r>
              <w:rPr>
                <w:b w:val="false"/>
                <w:bCs w:val="false"/>
                <w:sz w:val="20"/>
                <w:szCs w:val="20"/>
              </w:rPr>
              <w:t xml:space="preserve">“You’ll make your money back in the first month.”</w:t>
            </w:r>
          </w:p>
        </w:tc>
        <w:tc>
          <w:tcPr>
            <w:tcW w:type="dxa" w:w="5429"/>
            <w:tcMar>
              <w:top w:type="dxa" w:w="110"/>
              <w:left w:type="dxa" w:w="140"/>
              <w:bottom w:type="dxa" w:w="110"/>
              <w:right w:type="dxa" w:w="140"/>
            </w:tcMar>
          </w:tcPr>
          <w:p>
            <w:pPr>
              <w:spacing w:after="0"/>
            </w:pPr>
            <w:r>
              <w:rPr>
                <w:b w:val="false"/>
                <w:bCs w:val="false"/>
                <w:sz w:val="20"/>
                <w:szCs w:val="20"/>
              </w:rPr>
              <w:t xml:space="preserve">“Based on your numbers it pays for itself at about [N] patients. How fast that happens depends on your market and your follow-up.”</w:t>
            </w:r>
          </w:p>
        </w:tc>
      </w:tr>
      <w:tr>
        <w:tc>
          <w:tcPr>
            <w:tcW w:type="dxa" w:w="3931"/>
            <w:tcMar>
              <w:top w:type="dxa" w:w="110"/>
              <w:left w:type="dxa" w:w="140"/>
              <w:bottom w:type="dxa" w:w="110"/>
              <w:right w:type="dxa" w:w="140"/>
            </w:tcMar>
          </w:tcPr>
          <w:p>
            <w:pPr>
              <w:spacing w:after="0"/>
            </w:pPr>
            <w:r>
              <w:rPr>
                <w:b w:val="false"/>
                <w:bCs w:val="false"/>
                <w:sz w:val="20"/>
                <w:szCs w:val="20"/>
              </w:rPr>
              <w:t xml:space="preserve">“That’s HIPAA compliant, you’re fine.”</w:t>
            </w:r>
          </w:p>
        </w:tc>
        <w:tc>
          <w:tcPr>
            <w:tcW w:type="dxa" w:w="5429"/>
            <w:tcMar>
              <w:top w:type="dxa" w:w="110"/>
              <w:left w:type="dxa" w:w="140"/>
              <w:bottom w:type="dxa" w:w="110"/>
              <w:right w:type="dxa" w:w="140"/>
            </w:tcMar>
          </w:tcPr>
          <w:p>
            <w:pPr>
              <w:spacing w:after="0"/>
            </w:pPr>
            <w:r>
              <w:rPr>
                <w:b w:val="false"/>
                <w:bCs w:val="false"/>
                <w:sz w:val="20"/>
                <w:szCs w:val="20"/>
              </w:rPr>
              <w:t xml:space="preserve">“Here’s how we minimize touching patient information. Whether your setup is compliant is a question for your attorney — and we’ll build around whatever they tell you.”</w:t>
            </w:r>
          </w:p>
        </w:tc>
      </w:tr>
      <w:tr>
        <w:tc>
          <w:tcPr>
            <w:tcW w:type="dxa" w:w="3931"/>
            <w:tcMar>
              <w:top w:type="dxa" w:w="110"/>
              <w:left w:type="dxa" w:w="140"/>
              <w:bottom w:type="dxa" w:w="110"/>
              <w:right w:type="dxa" w:w="140"/>
            </w:tcMar>
          </w:tcPr>
          <w:p>
            <w:pPr>
              <w:spacing w:after="0"/>
            </w:pPr>
            <w:r>
              <w:rPr>
                <w:b w:val="false"/>
                <w:bCs w:val="false"/>
                <w:sz w:val="20"/>
                <w:szCs w:val="20"/>
              </w:rPr>
              <w:t xml:space="preserve">“That claim is legal, go ahead and run it.”</w:t>
            </w:r>
          </w:p>
        </w:tc>
        <w:tc>
          <w:tcPr>
            <w:tcW w:type="dxa" w:w="5429"/>
            <w:tcMar>
              <w:top w:type="dxa" w:w="110"/>
              <w:left w:type="dxa" w:w="140"/>
              <w:bottom w:type="dxa" w:w="110"/>
              <w:right w:type="dxa" w:w="140"/>
            </w:tcMar>
          </w:tcPr>
          <w:p>
            <w:pPr>
              <w:spacing w:after="0"/>
            </w:pPr>
            <w:r>
              <w:rPr>
                <w:b w:val="false"/>
                <w:bCs w:val="false"/>
                <w:sz w:val="20"/>
                <w:szCs w:val="20"/>
              </w:rPr>
              <w:t xml:space="preserve">“You’re the final approver on claims about your practice. If you’re unsure, run it past your counsel and we’ll work with their answer.”</w:t>
            </w:r>
          </w:p>
        </w:tc>
      </w:tr>
      <w:tr>
        <w:tc>
          <w:tcPr>
            <w:tcW w:type="dxa" w:w="3931"/>
            <w:tcMar>
              <w:top w:type="dxa" w:w="110"/>
              <w:left w:type="dxa" w:w="140"/>
              <w:bottom w:type="dxa" w:w="110"/>
              <w:right w:type="dxa" w:w="140"/>
            </w:tcMar>
          </w:tcPr>
          <w:p>
            <w:pPr>
              <w:spacing w:after="0"/>
            </w:pPr>
            <w:r>
              <w:rPr>
                <w:b w:val="false"/>
                <w:bCs w:val="false"/>
                <w:sz w:val="20"/>
                <w:szCs w:val="20"/>
              </w:rPr>
              <w:t xml:space="preserve">“Meta will approve it, don’t worry.”</w:t>
            </w:r>
          </w:p>
        </w:tc>
        <w:tc>
          <w:tcPr>
            <w:tcW w:type="dxa" w:w="5429"/>
            <w:tcMar>
              <w:top w:type="dxa" w:w="110"/>
              <w:left w:type="dxa" w:w="140"/>
              <w:bottom w:type="dxa" w:w="110"/>
              <w:right w:type="dxa" w:w="140"/>
            </w:tcMar>
          </w:tcPr>
          <w:p>
            <w:pPr>
              <w:spacing w:after="0"/>
            </w:pPr>
            <w:r>
              <w:rPr>
                <w:b w:val="false"/>
                <w:bCs w:val="false"/>
                <w:sz w:val="20"/>
                <w:szCs w:val="20"/>
              </w:rPr>
              <w:t xml:space="preserve">“Platforms review independently. We build to their policy and appeal when they get it wrong, but nobody can promise approval.”</w:t>
            </w:r>
          </w:p>
        </w:tc>
      </w:tr>
      <w:tr>
        <w:tc>
          <w:tcPr>
            <w:tcW w:type="dxa" w:w="3931"/>
            <w:tcMar>
              <w:top w:type="dxa" w:w="110"/>
              <w:left w:type="dxa" w:w="140"/>
              <w:bottom w:type="dxa" w:w="110"/>
              <w:right w:type="dxa" w:w="140"/>
            </w:tcMar>
          </w:tcPr>
          <w:p>
            <w:pPr>
              <w:spacing w:after="0"/>
            </w:pPr>
            <w:r>
              <w:rPr>
                <w:b w:val="false"/>
                <w:bCs w:val="false"/>
                <w:sz w:val="20"/>
                <w:szCs w:val="20"/>
              </w:rPr>
              <w:t xml:space="preserve">“You can cancel any time.” (during the first three months)</w:t>
            </w:r>
          </w:p>
        </w:tc>
        <w:tc>
          <w:tcPr>
            <w:tcW w:type="dxa" w:w="5429"/>
            <w:tcMar>
              <w:top w:type="dxa" w:w="110"/>
              <w:left w:type="dxa" w:w="140"/>
              <w:bottom w:type="dxa" w:w="110"/>
              <w:right w:type="dxa" w:w="140"/>
            </w:tcMar>
          </w:tcPr>
          <w:p>
            <w:pPr>
              <w:spacing w:after="0"/>
            </w:pPr>
            <w:r>
              <w:rPr>
                <w:b w:val="false"/>
                <w:bCs w:val="false"/>
                <w:sz w:val="20"/>
                <w:szCs w:val="20"/>
              </w:rPr>
              <w:t xml:space="preserve">“Three months to start, then month to month with thirty days notice.”</w:t>
            </w:r>
          </w:p>
        </w:tc>
      </w:tr>
      <w:tr>
        <w:tc>
          <w:tcPr>
            <w:tcW w:type="dxa" w:w="3931"/>
            <w:tcMar>
              <w:top w:type="dxa" w:w="110"/>
              <w:left w:type="dxa" w:w="140"/>
              <w:bottom w:type="dxa" w:w="110"/>
              <w:right w:type="dxa" w:w="140"/>
            </w:tcMar>
          </w:tcPr>
          <w:p>
            <w:pPr>
              <w:spacing w:after="0"/>
            </w:pPr>
            <w:r>
              <w:rPr>
                <w:b w:val="false"/>
                <w:bCs w:val="false"/>
                <w:sz w:val="20"/>
                <w:szCs w:val="20"/>
              </w:rPr>
              <w:t xml:space="preserve">“Let me check with Trevor and get back to you.” (on price, while on the call)</w:t>
            </w:r>
          </w:p>
        </w:tc>
        <w:tc>
          <w:tcPr>
            <w:tcW w:type="dxa" w:w="5429"/>
            <w:tcMar>
              <w:top w:type="dxa" w:w="110"/>
              <w:left w:type="dxa" w:w="140"/>
              <w:bottom w:type="dxa" w:w="110"/>
              <w:right w:type="dxa" w:w="140"/>
            </w:tcMar>
          </w:tcPr>
          <w:p>
            <w:pPr>
              <w:spacing w:after="0"/>
            </w:pPr>
            <w:r>
              <w:rPr>
                <w:b w:val="false"/>
                <w:bCs w:val="false"/>
                <w:sz w:val="20"/>
                <w:szCs w:val="20"/>
              </w:rPr>
              <w:t xml:space="preserve">Trevor is on the call. Hand it to him live: “Trevor, that’s yours.”</w:t>
            </w:r>
          </w:p>
        </w:tc>
      </w:tr>
    </w:tbl>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777777"/>
        <w:sz w:val="17"/>
        <w:szCs w:val="17"/>
      </w:rPr>
      <w:t xml:space="preserve">Client Introduction Call Script — Jordan &amp; Trevor — Internal Use Only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60"/>
      <w:jc w:val="center"/>
    </w:pPr>
    <w:rPr>
      <w:b/>
      <w:bCs/>
      <w:color w:val="111111"/>
      <w:sz w:val="32"/>
      <w:szCs w:val="32"/>
    </w:rPr>
  </w:style>
  <w:style w:type="paragraph" w:styleId="DocSub">
    <w:name w:val="Doc Subtitle"/>
    <w:basedOn w:val="Normal"/>
    <w:pPr>
      <w:spacing w:after="320"/>
      <w:jc w:val="center"/>
    </w:pPr>
    <w:rPr>
      <w:i/>
      <w:iCs/>
      <w:color w:val="5A5A5A"/>
      <w:sz w:val="19"/>
      <w:szCs w:val="19"/>
    </w:rPr>
  </w:style>
  <w:style w:type="paragraph" w:styleId="SectionHead">
    <w:name w:val="Section Head"/>
    <w:basedOn w:val="Normal"/>
    <w:next w:val="Normal"/>
    <w:pPr>
      <w:keepNext/>
      <w:spacing w:after="110" w:before="280"/>
    </w:pPr>
    <w:rPr>
      <w:b/>
      <w:bCs/>
      <w:color w:val="111111"/>
      <w:sz w:val="22"/>
      <w:szCs w:val="22"/>
    </w:rPr>
  </w:style>
  <w:style w:type="paragraph" w:styleId="SubHead">
    <w:name w:val="Sub Head"/>
    <w:basedOn w:val="Normal"/>
    <w:next w:val="Normal"/>
    <w:pPr>
      <w:keepNext/>
      <w:spacing w:after="90" w:before="200"/>
    </w:pPr>
    <w:rPr>
      <w:b/>
      <w:bCs/>
      <w:color w:val="222222"/>
      <w:sz w:val="21"/>
      <w:szCs w:val="21"/>
    </w:rPr>
  </w:style>
  <w:style w:type="paragraph" w:styleId="Quiet">
    <w:name w:val="Quiet"/>
    <w:basedOn w:val="Normal"/>
    <w:pPr>
      <w:spacing w:after="140"/>
    </w:pPr>
    <w:rPr>
      <w:i/>
      <w:iCs/>
      <w:color w:val="5A5A5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2026-08-18T18:50:07.617Z</dcterms:created>
  <dcterms:modified xsi:type="dcterms:W3CDTF">2026-08-18T18:50:07.633Z</dcterms:modified>
</cp:coreProperties>
</file>

<file path=docProps/custom.xml><?xml version="1.0" encoding="utf-8"?>
<Properties xmlns="http://schemas.openxmlformats.org/officeDocument/2006/custom-properties" xmlns:vt="http://schemas.openxmlformats.org/officeDocument/2006/docPropsVTypes"/>
</file>