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CONTRACT UPDATE SUMMARY</w:t>
      </w:r>
    </w:p>
    <w:p>
      <w:pPr>
        <w:pStyle w:val="DocSub"/>
      </w:pPr>
      <w:r>
        <w:t xml:space="preserve">What changed in the Stay Booked client agreement and SOW</w:t>
      </w:r>
    </w:p>
    <w:p>
      <w:pPr>
        <w:pStyle w:val="Quiet"/>
      </w:pPr>
      <w:r>
        <w:t xml:space="preserve">Internal reference. This summarizes the changes so you do not have to reread the whole agreement — it is not part of the contract, and where this summary and the agreement differ, the agreement governs.</w:t>
      </w:r>
    </w:p>
    <w:p>
      <w:pPr>
        <w:pStyle w:val="SectionHead"/>
      </w:pPr>
      <w:r>
        <w:t xml:space="preserve">The short version</w:t>
      </w:r>
    </w:p>
    <w:p>
      <w:r>
        <w:t xml:space="preserve">The agreement went from 16 sections to 34 sections plus two exhibits. Three things drove the rewrite:</w:t>
      </w:r>
    </w:p>
    <w:p>
      <w:pPr>
        <w:pStyle w:val="ListParagraph"/>
        <w:numPr>
          <w:ilvl w:val="0"/>
          <w:numId w:val="2"/>
        </w:numPr>
      </w:pPr>
      <w:r>
        <w:t xml:space="preserve">It now matches what you actually sell. The old draft described ads only. The new one covers automated lead contact, screening, and appointment setting — which is where most of your real legal exposure lives.</w:t>
      </w:r>
    </w:p>
    <w:p>
      <w:pPr>
        <w:pStyle w:val="ListParagraph"/>
        <w:numPr>
          <w:ilvl w:val="0"/>
          <w:numId w:val="2"/>
        </w:numPr>
      </w:pPr>
      <w:r>
        <w:t xml:space="preserve">It closes the arguments that actually happen. Approval fights, "you never told me it would cost that," chargebacks, and "you promised me patients" all now have a written answer.</w:t>
      </w:r>
    </w:p>
    <w:p>
      <w:pPr>
        <w:pStyle w:val="ListParagraph"/>
        <w:numPr>
          <w:ilvl w:val="0"/>
          <w:numId w:val="2"/>
        </w:numPr>
      </w:pPr>
      <w:r>
        <w:t xml:space="preserve">It reads as fair, not one-sided. A client attorney will find mutual warranties, a limited IP indemnity from you, and transition help on exit. That gets it signed faster than an aggressively one-sided document.</w:t>
      </w:r>
    </w:p>
    <w:p>
      <w:pPr>
        <w:pStyle w:val="SectionHead"/>
      </w:pPr>
      <w:r>
        <w:t xml:space="preserve">If you only remember five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276"/>
        <w:gridCol w:w="5616"/>
      </w:tblGrid>
      <w:tr>
        <w:trPr>
          <w:tblHeader/>
        </w:trPr>
        <w:tc>
          <w:tcPr>
            <w:tcW w:type="dxa" w:w="468"/>
            <w:shd w:fill="F2F0EC" w:color="auto" w:val="clear"/>
            <w:tcMar>
              <w:top w:type="dxa" w:w="100"/>
              <w:left w:type="dxa" w:w="130"/>
              <w:bottom w:type="dxa" w:w="100"/>
              <w:right w:type="dxa" w:w="130"/>
            </w:tcMar>
          </w:tcPr>
          <w:p>
            <w:pPr>
              <w:spacing w:after="0"/>
            </w:pPr>
            <w:r>
              <w:rPr>
                <w:b/>
                <w:bCs/>
                <w:sz w:val="19"/>
                <w:szCs w:val="19"/>
              </w:rPr>
              <w:t xml:space="preserve">#</w:t>
            </w:r>
          </w:p>
        </w:tc>
        <w:tc>
          <w:tcPr>
            <w:tcW w:type="dxa" w:w="3276"/>
            <w:shd w:fill="F2F0EC" w:color="auto" w:val="clear"/>
            <w:tcMar>
              <w:top w:type="dxa" w:w="100"/>
              <w:left w:type="dxa" w:w="130"/>
              <w:bottom w:type="dxa" w:w="100"/>
              <w:right w:type="dxa" w:w="130"/>
            </w:tcMar>
          </w:tcPr>
          <w:p>
            <w:pPr>
              <w:spacing w:after="0"/>
            </w:pPr>
            <w:r>
              <w:rPr>
                <w:b/>
                <w:bCs/>
                <w:sz w:val="19"/>
                <w:szCs w:val="19"/>
              </w:rPr>
              <w:t xml:space="preserve">The change</w:t>
            </w:r>
          </w:p>
        </w:tc>
        <w:tc>
          <w:tcPr>
            <w:tcW w:type="dxa" w:w="5616"/>
            <w:shd w:fill="F2F0EC" w:color="auto" w:val="clear"/>
            <w:tcMar>
              <w:top w:type="dxa" w:w="100"/>
              <w:left w:type="dxa" w:w="130"/>
              <w:bottom w:type="dxa" w:w="100"/>
              <w:right w:type="dxa" w:w="130"/>
            </w:tcMar>
          </w:tcPr>
          <w:p>
            <w:pPr>
              <w:spacing w:after="0"/>
            </w:pPr>
            <w:r>
              <w:rPr>
                <w:b/>
                <w:bCs/>
                <w:sz w:val="19"/>
                <w:szCs w:val="19"/>
              </w:rPr>
              <w:t xml:space="preserve">Why it matters to you</w:t>
            </w:r>
          </w:p>
        </w:tc>
      </w:tr>
      <w:tr>
        <w:tc>
          <w:tcPr>
            <w:tcW w:type="dxa" w:w="468"/>
            <w:tcMar>
              <w:top w:type="dxa" w:w="100"/>
              <w:left w:type="dxa" w:w="130"/>
              <w:bottom w:type="dxa" w:w="100"/>
              <w:right w:type="dxa" w:w="130"/>
            </w:tcMar>
          </w:tcPr>
          <w:p>
            <w:pPr>
              <w:spacing w:after="0"/>
            </w:pPr>
            <w:r>
              <w:rPr>
                <w:b w:val="false"/>
                <w:bCs w:val="false"/>
                <w:sz w:val="19"/>
                <w:szCs w:val="19"/>
              </w:rPr>
              <w:t xml:space="preserve">1</w:t>
            </w:r>
          </w:p>
        </w:tc>
        <w:tc>
          <w:tcPr>
            <w:tcW w:type="dxa" w:w="3276"/>
            <w:tcMar>
              <w:top w:type="dxa" w:w="100"/>
              <w:left w:type="dxa" w:w="130"/>
              <w:bottom w:type="dxa" w:w="100"/>
              <w:right w:type="dxa" w:w="130"/>
            </w:tcMar>
          </w:tcPr>
          <w:p>
            <w:pPr>
              <w:spacing w:after="0"/>
            </w:pPr>
            <w:r>
              <w:rPr>
                <w:b w:val="false"/>
                <w:bCs w:val="false"/>
                <w:sz w:val="19"/>
                <w:szCs w:val="19"/>
              </w:rPr>
              <w:t xml:space="preserve">Deemed approval after 3 business days (Section 4)</w:t>
            </w:r>
          </w:p>
        </w:tc>
        <w:tc>
          <w:tcPr>
            <w:tcW w:type="dxa" w:w="5616"/>
            <w:tcMar>
              <w:top w:type="dxa" w:w="100"/>
              <w:left w:type="dxa" w:w="130"/>
              <w:bottom w:type="dxa" w:w="100"/>
              <w:right w:type="dxa" w:w="130"/>
            </w:tcMar>
          </w:tcPr>
          <w:p>
            <w:pPr>
              <w:spacing w:after="0"/>
            </w:pPr>
            <w:r>
              <w:rPr>
                <w:b w:val="false"/>
                <w:bCs w:val="false"/>
                <w:sz w:val="19"/>
                <w:szCs w:val="19"/>
              </w:rPr>
              <w:t xml:space="preserve">If the client sits on creative, it is approved and you can publish. Their approval — express or silent — is their statement that the claim is accurate and legal. This kills the "I never approved that ad" fight and stops slow clients from stalling launches.</w:t>
            </w:r>
          </w:p>
        </w:tc>
      </w:tr>
      <w:tr>
        <w:tc>
          <w:tcPr>
            <w:tcW w:type="dxa" w:w="468"/>
            <w:tcMar>
              <w:top w:type="dxa" w:w="100"/>
              <w:left w:type="dxa" w:w="130"/>
              <w:bottom w:type="dxa" w:w="100"/>
              <w:right w:type="dxa" w:w="130"/>
            </w:tcMar>
          </w:tcPr>
          <w:p>
            <w:pPr>
              <w:spacing w:after="0"/>
            </w:pPr>
            <w:r>
              <w:rPr>
                <w:b w:val="false"/>
                <w:bCs w:val="false"/>
                <w:sz w:val="19"/>
                <w:szCs w:val="19"/>
              </w:rPr>
              <w:t xml:space="preserve">2</w:t>
            </w:r>
          </w:p>
        </w:tc>
        <w:tc>
          <w:tcPr>
            <w:tcW w:type="dxa" w:w="3276"/>
            <w:tcMar>
              <w:top w:type="dxa" w:w="100"/>
              <w:left w:type="dxa" w:w="130"/>
              <w:bottom w:type="dxa" w:w="100"/>
              <w:right w:type="dxa" w:w="130"/>
            </w:tcMar>
          </w:tcPr>
          <w:p>
            <w:pPr>
              <w:spacing w:after="0"/>
            </w:pPr>
            <w:r>
              <w:rPr>
                <w:b w:val="false"/>
                <w:bCs w:val="false"/>
                <w:sz w:val="19"/>
                <w:szCs w:val="19"/>
              </w:rPr>
              <w:t xml:space="preserve">Client is the sender of record for texts and emails (Section 11)</w:t>
            </w:r>
          </w:p>
        </w:tc>
        <w:tc>
          <w:tcPr>
            <w:tcW w:type="dxa" w:w="5616"/>
            <w:tcMar>
              <w:top w:type="dxa" w:w="100"/>
              <w:left w:type="dxa" w:w="130"/>
              <w:bottom w:type="dxa" w:w="100"/>
              <w:right w:type="dxa" w:w="130"/>
            </w:tcMar>
          </w:tcPr>
          <w:p>
            <w:pPr>
              <w:spacing w:after="0"/>
            </w:pPr>
            <w:r>
              <w:rPr>
                <w:b w:val="false"/>
                <w:bCs w:val="false"/>
                <w:sz w:val="19"/>
                <w:szCs w:val="19"/>
              </w:rPr>
              <w:t xml:space="preserve">You send automated outreach as their agent, in their name. TCPA liability for messaging sits with the practice, not with you. This is the single biggest risk in automated lead follow-up and it is now assigned.</w:t>
            </w:r>
          </w:p>
        </w:tc>
      </w:tr>
      <w:tr>
        <w:tc>
          <w:tcPr>
            <w:tcW w:type="dxa" w:w="468"/>
            <w:tcMar>
              <w:top w:type="dxa" w:w="100"/>
              <w:left w:type="dxa" w:w="130"/>
              <w:bottom w:type="dxa" w:w="100"/>
              <w:right w:type="dxa" w:w="130"/>
            </w:tcMar>
          </w:tcPr>
          <w:p>
            <w:pPr>
              <w:spacing w:after="0"/>
            </w:pPr>
            <w:r>
              <w:rPr>
                <w:b w:val="false"/>
                <w:bCs w:val="false"/>
                <w:sz w:val="19"/>
                <w:szCs w:val="19"/>
              </w:rPr>
              <w:t xml:space="preserve">3</w:t>
            </w:r>
          </w:p>
        </w:tc>
        <w:tc>
          <w:tcPr>
            <w:tcW w:type="dxa" w:w="3276"/>
            <w:tcMar>
              <w:top w:type="dxa" w:w="100"/>
              <w:left w:type="dxa" w:w="130"/>
              <w:bottom w:type="dxa" w:w="100"/>
              <w:right w:type="dxa" w:w="130"/>
            </w:tcMar>
          </w:tcPr>
          <w:p>
            <w:pPr>
              <w:spacing w:after="0"/>
            </w:pPr>
            <w:r>
              <w:rPr>
                <w:b w:val="false"/>
                <w:bCs w:val="false"/>
                <w:sz w:val="19"/>
                <w:szCs w:val="19"/>
              </w:rPr>
              <w:t xml:space="preserve">Ad spend sits outside the liability cap (Sections 7 and 26)</w:t>
            </w:r>
          </w:p>
        </w:tc>
        <w:tc>
          <w:tcPr>
            <w:tcW w:type="dxa" w:w="5616"/>
            <w:tcMar>
              <w:top w:type="dxa" w:w="100"/>
              <w:left w:type="dxa" w:w="130"/>
              <w:bottom w:type="dxa" w:w="100"/>
              <w:right w:type="dxa" w:w="130"/>
            </w:tcMar>
          </w:tcPr>
          <w:p>
            <w:pPr>
              <w:spacing w:after="0"/>
            </w:pPr>
            <w:r>
              <w:rPr>
                <w:b w:val="false"/>
                <w:bCs w:val="false"/>
                <w:sz w:val="19"/>
                <w:szCs w:val="19"/>
              </w:rPr>
              <w:t xml:space="preserve">Your maximum exposure is 3 months of fees — not 3 months of fees plus whatever they spent on Meta. Ad spend is also never recoverable as damages.</w:t>
            </w:r>
          </w:p>
        </w:tc>
      </w:tr>
      <w:tr>
        <w:tc>
          <w:tcPr>
            <w:tcW w:type="dxa" w:w="468"/>
            <w:tcMar>
              <w:top w:type="dxa" w:w="100"/>
              <w:left w:type="dxa" w:w="130"/>
              <w:bottom w:type="dxa" w:w="100"/>
              <w:right w:type="dxa" w:w="130"/>
            </w:tcMar>
          </w:tcPr>
          <w:p>
            <w:pPr>
              <w:spacing w:after="0"/>
            </w:pPr>
            <w:r>
              <w:rPr>
                <w:b w:val="false"/>
                <w:bCs w:val="false"/>
                <w:sz w:val="19"/>
                <w:szCs w:val="19"/>
              </w:rPr>
              <w:t xml:space="preserve">4</w:t>
            </w:r>
          </w:p>
        </w:tc>
        <w:tc>
          <w:tcPr>
            <w:tcW w:type="dxa" w:w="3276"/>
            <w:tcMar>
              <w:top w:type="dxa" w:w="100"/>
              <w:left w:type="dxa" w:w="130"/>
              <w:bottom w:type="dxa" w:w="100"/>
              <w:right w:type="dxa" w:w="130"/>
            </w:tcMar>
          </w:tcPr>
          <w:p>
            <w:pPr>
              <w:spacing w:after="0"/>
            </w:pPr>
            <w:r>
              <w:rPr>
                <w:b w:val="false"/>
                <w:bCs w:val="false"/>
                <w:sz w:val="19"/>
                <w:szCs w:val="19"/>
              </w:rPr>
              <w:t xml:space="preserve">You do not give legal, clinical, or compliance advice (Section 16)</w:t>
            </w:r>
          </w:p>
        </w:tc>
        <w:tc>
          <w:tcPr>
            <w:tcW w:type="dxa" w:w="5616"/>
            <w:tcMar>
              <w:top w:type="dxa" w:w="100"/>
              <w:left w:type="dxa" w:w="130"/>
              <w:bottom w:type="dxa" w:w="100"/>
              <w:right w:type="dxa" w:w="130"/>
            </w:tcMar>
          </w:tcPr>
          <w:p>
            <w:pPr>
              <w:spacing w:after="0"/>
            </w:pPr>
            <w:r>
              <w:rPr>
                <w:b w:val="false"/>
                <w:bCs w:val="false"/>
                <w:sz w:val="19"/>
                <w:szCs w:val="19"/>
              </w:rPr>
              <w:t xml:space="preserve">Your compliance review is a courtesy, not a duty to catch violations. Without this clause, doing the review at all could create a legal duty to have caught what you missed.</w:t>
            </w:r>
          </w:p>
        </w:tc>
      </w:tr>
      <w:tr>
        <w:tc>
          <w:tcPr>
            <w:tcW w:type="dxa" w:w="468"/>
            <w:tcMar>
              <w:top w:type="dxa" w:w="100"/>
              <w:left w:type="dxa" w:w="130"/>
              <w:bottom w:type="dxa" w:w="100"/>
              <w:right w:type="dxa" w:w="130"/>
            </w:tcMar>
          </w:tcPr>
          <w:p>
            <w:pPr>
              <w:spacing w:after="0"/>
            </w:pPr>
            <w:r>
              <w:rPr>
                <w:b w:val="false"/>
                <w:bCs w:val="false"/>
                <w:sz w:val="19"/>
                <w:szCs w:val="19"/>
              </w:rPr>
              <w:t xml:space="preserve">5</w:t>
            </w:r>
          </w:p>
        </w:tc>
        <w:tc>
          <w:tcPr>
            <w:tcW w:type="dxa" w:w="3276"/>
            <w:tcMar>
              <w:top w:type="dxa" w:w="100"/>
              <w:left w:type="dxa" w:w="130"/>
              <w:bottom w:type="dxa" w:w="100"/>
              <w:right w:type="dxa" w:w="130"/>
            </w:tcMar>
          </w:tcPr>
          <w:p>
            <w:pPr>
              <w:spacing w:after="0"/>
            </w:pPr>
            <w:r>
              <w:rPr>
                <w:b w:val="false"/>
                <w:bCs w:val="false"/>
                <w:sz w:val="19"/>
                <w:szCs w:val="19"/>
              </w:rPr>
              <w:t xml:space="preserve">Exhibit A — eight initialed acknowledgments</w:t>
            </w:r>
          </w:p>
        </w:tc>
        <w:tc>
          <w:tcPr>
            <w:tcW w:type="dxa" w:w="5616"/>
            <w:tcMar>
              <w:top w:type="dxa" w:w="100"/>
              <w:left w:type="dxa" w:w="130"/>
              <w:bottom w:type="dxa" w:w="100"/>
              <w:right w:type="dxa" w:w="130"/>
            </w:tcMar>
          </w:tcPr>
          <w:p>
            <w:pPr>
              <w:spacing w:after="0"/>
            </w:pPr>
            <w:r>
              <w:rPr>
                <w:b w:val="false"/>
                <w:bCs w:val="false"/>
                <w:sz w:val="19"/>
                <w:szCs w:val="19"/>
              </w:rPr>
              <w:t xml:space="preserve">Client hand-initials that you do not guarantee results, that their clinical care is theirs, and that conversion depends on their follow-up. Initials next to those sentences are worth far more in a dispute than the same words buried in Section 15.</w:t>
            </w:r>
          </w:p>
        </w:tc>
      </w:tr>
    </w:tbl>
    <w:p>
      <w:pPr>
        <w:pageBreakBefore/>
      </w:pPr>
    </w:p>
    <w:p>
      <w:pPr>
        <w:pStyle w:val="SectionHead"/>
      </w:pPr>
      <w:r>
        <w:t xml:space="preserve">New sections, by what they protect</w:t>
      </w:r>
    </w:p>
    <w:p>
      <w:pPr>
        <w:pStyle w:val="SubHead"/>
      </w:pPr>
      <w:r>
        <w:t xml:space="preserve">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F2F0EC" w:color="auto" w:val="clear"/>
            <w:tcMar>
              <w:top w:type="dxa" w:w="100"/>
              <w:left w:type="dxa" w:w="130"/>
              <w:bottom w:type="dxa" w:w="100"/>
              <w:right w:type="dxa" w:w="130"/>
            </w:tcMar>
          </w:tcPr>
          <w:p>
            <w:pPr>
              <w:spacing w:after="0"/>
            </w:pPr>
            <w:r>
              <w:rPr>
                <w:b/>
                <w:bCs/>
                <w:sz w:val="19"/>
                <w:szCs w:val="19"/>
              </w:rPr>
              <w:t xml:space="preserve">Section</w:t>
            </w:r>
          </w:p>
        </w:tc>
        <w:tc>
          <w:tcPr>
            <w:tcW w:type="dxa" w:w="6739"/>
            <w:shd w:fill="F2F0EC" w:color="auto" w:val="clear"/>
            <w:tcMar>
              <w:top w:type="dxa" w:w="100"/>
              <w:left w:type="dxa" w:w="130"/>
              <w:bottom w:type="dxa" w:w="100"/>
              <w:right w:type="dxa" w:w="130"/>
            </w:tcMar>
          </w:tcPr>
          <w:p>
            <w:pPr>
              <w:spacing w:after="0"/>
            </w:pPr>
            <w:r>
              <w:rPr>
                <w:b/>
                <w:bCs/>
                <w:sz w:val="19"/>
                <w:szCs w:val="19"/>
              </w:rPr>
              <w:t xml:space="preserve">What it does</w:t>
            </w:r>
          </w:p>
        </w:tc>
      </w:tr>
      <w:tr>
        <w:tc>
          <w:tcPr>
            <w:tcW w:type="dxa" w:w="2621"/>
            <w:tcMar>
              <w:top w:type="dxa" w:w="100"/>
              <w:left w:type="dxa" w:w="130"/>
              <w:bottom w:type="dxa" w:w="100"/>
              <w:right w:type="dxa" w:w="130"/>
            </w:tcMar>
          </w:tcPr>
          <w:p>
            <w:pPr>
              <w:spacing w:after="0"/>
            </w:pPr>
            <w:r>
              <w:rPr>
                <w:b w:val="false"/>
                <w:bCs w:val="false"/>
                <w:sz w:val="19"/>
                <w:szCs w:val="19"/>
              </w:rPr>
              <w:t xml:space="preserve">6. Fees and Payment</w:t>
            </w:r>
          </w:p>
        </w:tc>
        <w:tc>
          <w:tcPr>
            <w:tcW w:type="dxa" w:w="6739"/>
            <w:tcMar>
              <w:top w:type="dxa" w:w="100"/>
              <w:left w:type="dxa" w:w="130"/>
              <w:bottom w:type="dxa" w:w="100"/>
              <w:right w:type="dxa" w:w="130"/>
            </w:tcMar>
          </w:tcPr>
          <w:p>
            <w:pPr>
              <w:spacing w:after="0"/>
            </w:pPr>
            <w:r>
              <w:rPr>
                <w:b w:val="false"/>
                <w:bCs w:val="false"/>
                <w:sz w:val="19"/>
                <w:szCs w:val="19"/>
              </w:rPr>
              <w:t xml:space="preserve">Card or ACH on file with authorization to auto-charge. 1.5% monthly interest after 10 days late. Client agrees not to file a chargeback before using the escalation process, and pays your costs if they do anyway. You can raise fees on 60 days notice; they can walk if they do not accept.</w:t>
            </w:r>
          </w:p>
        </w:tc>
      </w:tr>
      <w:tr>
        <w:tc>
          <w:tcPr>
            <w:tcW w:type="dxa" w:w="2621"/>
            <w:tcMar>
              <w:top w:type="dxa" w:w="100"/>
              <w:left w:type="dxa" w:w="130"/>
              <w:bottom w:type="dxa" w:w="100"/>
              <w:right w:type="dxa" w:w="130"/>
            </w:tcMar>
          </w:tcPr>
          <w:p>
            <w:pPr>
              <w:spacing w:after="0"/>
            </w:pPr>
            <w:r>
              <w:rPr>
                <w:b w:val="false"/>
                <w:bCs w:val="false"/>
                <w:sz w:val="19"/>
                <w:szCs w:val="19"/>
              </w:rPr>
              <w:t xml:space="preserve">7. Advertising Spend</w:t>
            </w:r>
          </w:p>
        </w:tc>
        <w:tc>
          <w:tcPr>
            <w:tcW w:type="dxa" w:w="6739"/>
            <w:tcMar>
              <w:top w:type="dxa" w:w="100"/>
              <w:left w:type="dxa" w:w="130"/>
              <w:bottom w:type="dxa" w:w="100"/>
              <w:right w:type="dxa" w:w="130"/>
            </w:tcMar>
          </w:tcPr>
          <w:p>
            <w:pPr>
              <w:spacing w:after="0"/>
            </w:pPr>
            <w:r>
              <w:rPr>
                <w:b w:val="false"/>
                <w:bCs w:val="false"/>
                <w:sz w:val="19"/>
                <w:szCs w:val="19"/>
              </w:rPr>
              <w:t xml:space="preserve">Ad spend is the client’s, paid on their card, at their approved budget. You are not on the hook for platform billing errors, pacing, or auction pricing. Covers the case where you front spend, if you ever do.</w:t>
            </w:r>
          </w:p>
        </w:tc>
      </w:tr>
      <w:tr>
        <w:tc>
          <w:tcPr>
            <w:tcW w:type="dxa" w:w="2621"/>
            <w:tcMar>
              <w:top w:type="dxa" w:w="100"/>
              <w:left w:type="dxa" w:w="130"/>
              <w:bottom w:type="dxa" w:w="100"/>
              <w:right w:type="dxa" w:w="130"/>
            </w:tcMar>
          </w:tcPr>
          <w:p>
            <w:pPr>
              <w:spacing w:after="0"/>
            </w:pPr>
            <w:r>
              <w:rPr>
                <w:b w:val="false"/>
                <w:bCs w:val="false"/>
                <w:sz w:val="19"/>
                <w:szCs w:val="19"/>
              </w:rPr>
              <w:t xml:space="preserve">9. Effect of Termination</w:t>
            </w:r>
          </w:p>
        </w:tc>
        <w:tc>
          <w:tcPr>
            <w:tcW w:type="dxa" w:w="6739"/>
            <w:tcMar>
              <w:top w:type="dxa" w:w="100"/>
              <w:left w:type="dxa" w:w="130"/>
              <w:bottom w:type="dxa" w:w="100"/>
              <w:right w:type="dxa" w:w="130"/>
            </w:tcMar>
          </w:tcPr>
          <w:p>
            <w:pPr>
              <w:spacing w:after="0"/>
            </w:pPr>
            <w:r>
              <w:rPr>
                <w:b w:val="false"/>
                <w:bCs w:val="false"/>
                <w:sz w:val="19"/>
                <w:szCs w:val="19"/>
              </w:rPr>
              <w:t xml:space="preserve">Client pays for the full service month in progress. You export their lead data and give 2 hours of transition help — but only if their account is current.</w:t>
            </w:r>
          </w:p>
        </w:tc>
      </w:tr>
    </w:tbl>
    <w:p>
      <w:pPr>
        <w:pStyle w:val="SubHead"/>
      </w:pPr>
      <w:r>
        <w:t xml:space="preserve">The work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F2F0EC" w:color="auto" w:val="clear"/>
            <w:tcMar>
              <w:top w:type="dxa" w:w="100"/>
              <w:left w:type="dxa" w:w="130"/>
              <w:bottom w:type="dxa" w:w="100"/>
              <w:right w:type="dxa" w:w="130"/>
            </w:tcMar>
          </w:tcPr>
          <w:p>
            <w:pPr>
              <w:spacing w:after="0"/>
            </w:pPr>
            <w:r>
              <w:rPr>
                <w:b/>
                <w:bCs/>
                <w:sz w:val="19"/>
                <w:szCs w:val="19"/>
              </w:rPr>
              <w:t xml:space="preserve">Section</w:t>
            </w:r>
          </w:p>
        </w:tc>
        <w:tc>
          <w:tcPr>
            <w:tcW w:type="dxa" w:w="6739"/>
            <w:shd w:fill="F2F0EC" w:color="auto" w:val="clear"/>
            <w:tcMar>
              <w:top w:type="dxa" w:w="100"/>
              <w:left w:type="dxa" w:w="130"/>
              <w:bottom w:type="dxa" w:w="100"/>
              <w:right w:type="dxa" w:w="130"/>
            </w:tcMar>
          </w:tcPr>
          <w:p>
            <w:pPr>
              <w:spacing w:after="0"/>
            </w:pPr>
            <w:r>
              <w:rPr>
                <w:b/>
                <w:bCs/>
                <w:sz w:val="19"/>
                <w:szCs w:val="19"/>
              </w:rPr>
              <w:t xml:space="preserve">What it does</w:t>
            </w:r>
          </w:p>
        </w:tc>
      </w:tr>
      <w:tr>
        <w:tc>
          <w:tcPr>
            <w:tcW w:type="dxa" w:w="2621"/>
            <w:tcMar>
              <w:top w:type="dxa" w:w="100"/>
              <w:left w:type="dxa" w:w="130"/>
              <w:bottom w:type="dxa" w:w="100"/>
              <w:right w:type="dxa" w:w="130"/>
            </w:tcMar>
          </w:tcPr>
          <w:p>
            <w:pPr>
              <w:spacing w:after="0"/>
            </w:pPr>
            <w:r>
              <w:rPr>
                <w:b w:val="false"/>
                <w:bCs w:val="false"/>
                <w:sz w:val="19"/>
                <w:szCs w:val="19"/>
              </w:rPr>
              <w:t xml:space="preserve">1. Definitions</w:t>
            </w:r>
          </w:p>
        </w:tc>
        <w:tc>
          <w:tcPr>
            <w:tcW w:type="dxa" w:w="6739"/>
            <w:tcMar>
              <w:top w:type="dxa" w:w="100"/>
              <w:left w:type="dxa" w:w="130"/>
              <w:bottom w:type="dxa" w:w="100"/>
              <w:right w:type="dxa" w:w="130"/>
            </w:tcMar>
          </w:tcPr>
          <w:p>
            <w:pPr>
              <w:spacing w:after="0"/>
            </w:pPr>
            <w:r>
              <w:rPr>
                <w:b w:val="false"/>
                <w:bCs w:val="false"/>
                <w:sz w:val="19"/>
                <w:szCs w:val="19"/>
              </w:rPr>
              <w:t xml:space="preserve">Defines Services, SOW, Ad Spend, Client Content, Lead, Deliverables, Platform. Boring, but it is why the rest of the document can be short and precise.</w:t>
            </w:r>
          </w:p>
        </w:tc>
      </w:tr>
      <w:tr>
        <w:tc>
          <w:tcPr>
            <w:tcW w:type="dxa" w:w="2621"/>
            <w:tcMar>
              <w:top w:type="dxa" w:w="100"/>
              <w:left w:type="dxa" w:w="130"/>
              <w:bottom w:type="dxa" w:w="100"/>
              <w:right w:type="dxa" w:w="130"/>
            </w:tcMar>
          </w:tcPr>
          <w:p>
            <w:pPr>
              <w:spacing w:after="0"/>
            </w:pPr>
            <w:r>
              <w:rPr>
                <w:b w:val="false"/>
                <w:bCs w:val="false"/>
                <w:sz w:val="19"/>
                <w:szCs w:val="19"/>
              </w:rPr>
              <w:t xml:space="preserve">3. Onboarding and Access</w:t>
            </w:r>
          </w:p>
        </w:tc>
        <w:tc>
          <w:tcPr>
            <w:tcW w:type="dxa" w:w="6739"/>
            <w:tcMar>
              <w:top w:type="dxa" w:w="100"/>
              <w:left w:type="dxa" w:w="130"/>
              <w:bottom w:type="dxa" w:w="100"/>
              <w:right w:type="dxa" w:w="130"/>
            </w:tcMar>
          </w:tcPr>
          <w:p>
            <w:pPr>
              <w:spacing w:after="0"/>
            </w:pPr>
            <w:r>
              <w:rPr>
                <w:b w:val="false"/>
                <w:bCs w:val="false"/>
                <w:sz w:val="19"/>
                <w:szCs w:val="19"/>
              </w:rPr>
              <w:t xml:space="preserve">Client must give you accounts and access. If they are slow, your deadlines move day for day. No more being blamed for a delay they caused.</w:t>
            </w:r>
          </w:p>
        </w:tc>
      </w:tr>
      <w:tr>
        <w:tc>
          <w:tcPr>
            <w:tcW w:type="dxa" w:w="2621"/>
            <w:tcMar>
              <w:top w:type="dxa" w:w="100"/>
              <w:left w:type="dxa" w:w="130"/>
              <w:bottom w:type="dxa" w:w="100"/>
              <w:right w:type="dxa" w:w="130"/>
            </w:tcMar>
          </w:tcPr>
          <w:p>
            <w:pPr>
              <w:spacing w:after="0"/>
            </w:pPr>
            <w:r>
              <w:rPr>
                <w:b w:val="false"/>
                <w:bCs w:val="false"/>
                <w:sz w:val="19"/>
                <w:szCs w:val="19"/>
              </w:rPr>
              <w:t xml:space="preserve">4. Approvals and Turnaround</w:t>
            </w:r>
          </w:p>
        </w:tc>
        <w:tc>
          <w:tcPr>
            <w:tcW w:type="dxa" w:w="6739"/>
            <w:tcMar>
              <w:top w:type="dxa" w:w="100"/>
              <w:left w:type="dxa" w:w="130"/>
              <w:bottom w:type="dxa" w:w="100"/>
              <w:right w:type="dxa" w:w="130"/>
            </w:tcMar>
          </w:tcPr>
          <w:p>
            <w:pPr>
              <w:spacing w:after="0"/>
            </w:pPr>
            <w:r>
              <w:rPr>
                <w:b w:val="false"/>
                <w:bCs w:val="false"/>
                <w:sz w:val="19"/>
                <w:szCs w:val="19"/>
              </w:rPr>
              <w:t xml:space="preserve">The deemed-approval clause above. Also commits you to acknowledging their requests within 1 business day — a small promise that makes you look responsive.</w:t>
            </w:r>
          </w:p>
        </w:tc>
      </w:tr>
      <w:tr>
        <w:tc>
          <w:tcPr>
            <w:tcW w:type="dxa" w:w="2621"/>
            <w:tcMar>
              <w:top w:type="dxa" w:w="100"/>
              <w:left w:type="dxa" w:w="130"/>
              <w:bottom w:type="dxa" w:w="100"/>
              <w:right w:type="dxa" w:w="130"/>
            </w:tcMar>
          </w:tcPr>
          <w:p>
            <w:pPr>
              <w:spacing w:after="0"/>
            </w:pPr>
            <w:r>
              <w:rPr>
                <w:b w:val="false"/>
                <w:bCs w:val="false"/>
                <w:sz w:val="19"/>
                <w:szCs w:val="19"/>
              </w:rPr>
              <w:t xml:space="preserve">5. Change Requests</w:t>
            </w:r>
          </w:p>
        </w:tc>
        <w:tc>
          <w:tcPr>
            <w:tcW w:type="dxa" w:w="6739"/>
            <w:tcMar>
              <w:top w:type="dxa" w:w="100"/>
              <w:left w:type="dxa" w:w="130"/>
              <w:bottom w:type="dxa" w:w="100"/>
              <w:right w:type="dxa" w:w="130"/>
            </w:tcMar>
          </w:tcPr>
          <w:p>
            <w:pPr>
              <w:spacing w:after="0"/>
            </w:pPr>
            <w:r>
              <w:rPr>
                <w:b w:val="false"/>
                <w:bCs w:val="false"/>
                <w:sz w:val="19"/>
                <w:szCs w:val="19"/>
              </w:rPr>
              <w:t xml:space="preserve">Scope changes only count in writing. You are never obligated to do work outside a signed SOW, and can price anything extra separately. This is your scope-creep shield.</w:t>
            </w:r>
          </w:p>
        </w:tc>
      </w:tr>
      <w:tr>
        <w:tc>
          <w:tcPr>
            <w:tcW w:type="dxa" w:w="2621"/>
            <w:tcMar>
              <w:top w:type="dxa" w:w="100"/>
              <w:left w:type="dxa" w:w="130"/>
              <w:bottom w:type="dxa" w:w="100"/>
              <w:right w:type="dxa" w:w="130"/>
            </w:tcMar>
          </w:tcPr>
          <w:p>
            <w:pPr>
              <w:spacing w:after="0"/>
            </w:pPr>
            <w:r>
              <w:rPr>
                <w:b w:val="false"/>
                <w:bCs w:val="false"/>
                <w:sz w:val="19"/>
                <w:szCs w:val="19"/>
              </w:rPr>
              <w:t xml:space="preserve">8. Term and Termination</w:t>
            </w:r>
          </w:p>
        </w:tc>
        <w:tc>
          <w:tcPr>
            <w:tcW w:type="dxa" w:w="6739"/>
            <w:tcMar>
              <w:top w:type="dxa" w:w="100"/>
              <w:left w:type="dxa" w:w="130"/>
              <w:bottom w:type="dxa" w:w="100"/>
              <w:right w:type="dxa" w:w="130"/>
            </w:tcMar>
          </w:tcPr>
          <w:p>
            <w:pPr>
              <w:spacing w:after="0"/>
            </w:pPr>
            <w:r>
              <w:rPr>
                <w:b w:val="false"/>
                <w:bCs w:val="false"/>
                <w:sz w:val="19"/>
                <w:szCs w:val="19"/>
              </w:rPr>
              <w:t xml:space="preserve">Auto-renews monthly, 30 days notice either way. You can suspend immediately for nonpayment or if their content creates legal or platform risk. One 30-day pause allowed per year, and you are not responsible for the performance reset that follows.</w:t>
            </w:r>
          </w:p>
        </w:tc>
      </w:tr>
    </w:tbl>
    <w:p>
      <w:pPr>
        <w:pStyle w:val="SubHead"/>
      </w:pPr>
      <w:r>
        <w:t xml:space="preserve">Legal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F2F0EC" w:color="auto" w:val="clear"/>
            <w:tcMar>
              <w:top w:type="dxa" w:w="100"/>
              <w:left w:type="dxa" w:w="130"/>
              <w:bottom w:type="dxa" w:w="100"/>
              <w:right w:type="dxa" w:w="130"/>
            </w:tcMar>
          </w:tcPr>
          <w:p>
            <w:pPr>
              <w:spacing w:after="0"/>
            </w:pPr>
            <w:r>
              <w:rPr>
                <w:b/>
                <w:bCs/>
                <w:sz w:val="19"/>
                <w:szCs w:val="19"/>
              </w:rPr>
              <w:t xml:space="preserve">Section</w:t>
            </w:r>
          </w:p>
        </w:tc>
        <w:tc>
          <w:tcPr>
            <w:tcW w:type="dxa" w:w="6739"/>
            <w:shd w:fill="F2F0EC" w:color="auto" w:val="clear"/>
            <w:tcMar>
              <w:top w:type="dxa" w:w="100"/>
              <w:left w:type="dxa" w:w="130"/>
              <w:bottom w:type="dxa" w:w="100"/>
              <w:right w:type="dxa" w:w="130"/>
            </w:tcMar>
          </w:tcPr>
          <w:p>
            <w:pPr>
              <w:spacing w:after="0"/>
            </w:pPr>
            <w:r>
              <w:rPr>
                <w:b/>
                <w:bCs/>
                <w:sz w:val="19"/>
                <w:szCs w:val="19"/>
              </w:rPr>
              <w:t xml:space="preserve">What it does</w:t>
            </w:r>
          </w:p>
        </w:tc>
      </w:tr>
      <w:tr>
        <w:tc>
          <w:tcPr>
            <w:tcW w:type="dxa" w:w="2621"/>
            <w:tcMar>
              <w:top w:type="dxa" w:w="100"/>
              <w:left w:type="dxa" w:w="130"/>
              <w:bottom w:type="dxa" w:w="100"/>
              <w:right w:type="dxa" w:w="130"/>
            </w:tcMar>
          </w:tcPr>
          <w:p>
            <w:pPr>
              <w:spacing w:after="0"/>
            </w:pPr>
            <w:r>
              <w:rPr>
                <w:b w:val="false"/>
                <w:bCs w:val="false"/>
                <w:sz w:val="19"/>
                <w:szCs w:val="19"/>
              </w:rPr>
              <w:t xml:space="preserve">11. Lead Handling and Consent</w:t>
            </w:r>
          </w:p>
        </w:tc>
        <w:tc>
          <w:tcPr>
            <w:tcW w:type="dxa" w:w="6739"/>
            <w:tcMar>
              <w:top w:type="dxa" w:w="100"/>
              <w:left w:type="dxa" w:w="130"/>
              <w:bottom w:type="dxa" w:w="100"/>
              <w:right w:type="dxa" w:w="130"/>
            </w:tcMar>
          </w:tcPr>
          <w:p>
            <w:pPr>
              <w:spacing w:after="0"/>
            </w:pPr>
            <w:r>
              <w:rPr>
                <w:b w:val="false"/>
                <w:bCs w:val="false"/>
                <w:sz w:val="19"/>
                <w:szCs w:val="19"/>
              </w:rPr>
              <w:t xml:space="preserve">The TCPA agency clause. Also: no purchased or scraped lists, client honors opt-outs they receive directly, you handle opt-outs in your systems.</w:t>
            </w:r>
          </w:p>
        </w:tc>
      </w:tr>
      <w:tr>
        <w:tc>
          <w:tcPr>
            <w:tcW w:type="dxa" w:w="2621"/>
            <w:tcMar>
              <w:top w:type="dxa" w:w="100"/>
              <w:left w:type="dxa" w:w="130"/>
              <w:bottom w:type="dxa" w:w="100"/>
              <w:right w:type="dxa" w:w="130"/>
            </w:tcMar>
          </w:tcPr>
          <w:p>
            <w:pPr>
              <w:spacing w:after="0"/>
            </w:pPr>
            <w:r>
              <w:rPr>
                <w:b w:val="false"/>
                <w:bCs w:val="false"/>
                <w:sz w:val="19"/>
                <w:szCs w:val="19"/>
              </w:rPr>
              <w:t xml:space="preserve">12. Protected Health Information</w:t>
            </w:r>
          </w:p>
        </w:tc>
        <w:tc>
          <w:tcPr>
            <w:tcW w:type="dxa" w:w="6739"/>
            <w:tcMar>
              <w:top w:type="dxa" w:w="100"/>
              <w:left w:type="dxa" w:w="130"/>
              <w:bottom w:type="dxa" w:w="100"/>
              <w:right w:type="dxa" w:w="130"/>
            </w:tcMar>
          </w:tcPr>
          <w:p>
            <w:pPr>
              <w:spacing w:after="0"/>
            </w:pPr>
            <w:r>
              <w:rPr>
                <w:b w:val="false"/>
                <w:bCs w:val="false"/>
                <w:sz w:val="19"/>
                <w:szCs w:val="19"/>
              </w:rPr>
              <w:t xml:space="preserve">PHI minimized by design; a BAA gets signed if you ever touch PHI, and that BAA wins over this contract on PHI questions. Matches what your website FAQ already promises.</w:t>
            </w:r>
          </w:p>
        </w:tc>
      </w:tr>
      <w:tr>
        <w:tc>
          <w:tcPr>
            <w:tcW w:type="dxa" w:w="2621"/>
            <w:tcMar>
              <w:top w:type="dxa" w:w="100"/>
              <w:left w:type="dxa" w:w="130"/>
              <w:bottom w:type="dxa" w:w="100"/>
              <w:right w:type="dxa" w:w="130"/>
            </w:tcMar>
          </w:tcPr>
          <w:p>
            <w:pPr>
              <w:spacing w:after="0"/>
            </w:pPr>
            <w:r>
              <w:rPr>
                <w:b w:val="false"/>
                <w:bCs w:val="false"/>
                <w:sz w:val="19"/>
                <w:szCs w:val="19"/>
              </w:rPr>
              <w:t xml:space="preserve">13. Data Ownership and Privacy</w:t>
            </w:r>
          </w:p>
        </w:tc>
        <w:tc>
          <w:tcPr>
            <w:tcW w:type="dxa" w:w="6739"/>
            <w:tcMar>
              <w:top w:type="dxa" w:w="100"/>
              <w:left w:type="dxa" w:w="130"/>
              <w:bottom w:type="dxa" w:w="100"/>
              <w:right w:type="dxa" w:w="130"/>
            </w:tcMar>
          </w:tcPr>
          <w:p>
            <w:pPr>
              <w:spacing w:after="0"/>
            </w:pPr>
            <w:r>
              <w:rPr>
                <w:b w:val="false"/>
                <w:bCs w:val="false"/>
                <w:sz w:val="19"/>
                <w:szCs w:val="19"/>
              </w:rPr>
              <w:t xml:space="preserve">Client owns their lead data. You keep the right to use aggregated, de-identified performance data to benchmark and improve — that is how you build a track record without exposing any client.</w:t>
            </w:r>
          </w:p>
        </w:tc>
      </w:tr>
      <w:tr>
        <w:tc>
          <w:tcPr>
            <w:tcW w:type="dxa" w:w="2621"/>
            <w:tcMar>
              <w:top w:type="dxa" w:w="100"/>
              <w:left w:type="dxa" w:w="130"/>
              <w:bottom w:type="dxa" w:w="100"/>
              <w:right w:type="dxa" w:w="130"/>
            </w:tcMar>
          </w:tcPr>
          <w:p>
            <w:pPr>
              <w:spacing w:after="0"/>
            </w:pPr>
            <w:r>
              <w:rPr>
                <w:b w:val="false"/>
                <w:bCs w:val="false"/>
                <w:sz w:val="19"/>
                <w:szCs w:val="19"/>
              </w:rPr>
              <w:t xml:space="preserve">14. Platform Policies</w:t>
            </w:r>
          </w:p>
        </w:tc>
        <w:tc>
          <w:tcPr>
            <w:tcW w:type="dxa" w:w="6739"/>
            <w:tcMar>
              <w:top w:type="dxa" w:w="100"/>
              <w:left w:type="dxa" w:w="130"/>
              <w:bottom w:type="dxa" w:w="100"/>
              <w:right w:type="dxa" w:w="130"/>
            </w:tcMar>
          </w:tcPr>
          <w:p>
            <w:pPr>
              <w:spacing w:after="0"/>
            </w:pPr>
            <w:r>
              <w:rPr>
                <w:b w:val="false"/>
                <w:bCs w:val="false"/>
                <w:sz w:val="19"/>
                <w:szCs w:val="19"/>
              </w:rPr>
              <w:t xml:space="preserve">Meta and Google approve, restrict, and ban accounts on their own. You will appeal; you cannot promise approval or reinstatement.</w:t>
            </w:r>
          </w:p>
        </w:tc>
      </w:tr>
      <w:tr>
        <w:tc>
          <w:tcPr>
            <w:tcW w:type="dxa" w:w="2621"/>
            <w:tcMar>
              <w:top w:type="dxa" w:w="100"/>
              <w:left w:type="dxa" w:w="130"/>
              <w:bottom w:type="dxa" w:w="100"/>
              <w:right w:type="dxa" w:w="130"/>
            </w:tcMar>
          </w:tcPr>
          <w:p>
            <w:pPr>
              <w:spacing w:after="0"/>
            </w:pPr>
            <w:r>
              <w:rPr>
                <w:b w:val="false"/>
                <w:bCs w:val="false"/>
                <w:sz w:val="19"/>
                <w:szCs w:val="19"/>
              </w:rPr>
              <w:t xml:space="preserve">16. No Legal or Clinical Advice</w:t>
            </w:r>
          </w:p>
        </w:tc>
        <w:tc>
          <w:tcPr>
            <w:tcW w:type="dxa" w:w="6739"/>
            <w:tcMar>
              <w:top w:type="dxa" w:w="100"/>
              <w:left w:type="dxa" w:w="130"/>
              <w:bottom w:type="dxa" w:w="100"/>
              <w:right w:type="dxa" w:w="130"/>
            </w:tcMar>
          </w:tcPr>
          <w:p>
            <w:pPr>
              <w:spacing w:after="0"/>
            </w:pPr>
            <w:r>
              <w:rPr>
                <w:b w:val="false"/>
                <w:bCs w:val="false"/>
                <w:sz w:val="19"/>
                <w:szCs w:val="19"/>
              </w:rPr>
              <w:t xml:space="preserve">See above. Probably the most important defensive clause in the document.</w:t>
            </w:r>
          </w:p>
        </w:tc>
      </w:tr>
      <w:tr>
        <w:tc>
          <w:tcPr>
            <w:tcW w:type="dxa" w:w="2621"/>
            <w:tcMar>
              <w:top w:type="dxa" w:w="100"/>
              <w:left w:type="dxa" w:w="130"/>
              <w:bottom w:type="dxa" w:w="100"/>
              <w:right w:type="dxa" w:w="130"/>
            </w:tcMar>
          </w:tcPr>
          <w:p>
            <w:pPr>
              <w:spacing w:after="0"/>
            </w:pPr>
            <w:r>
              <w:rPr>
                <w:b w:val="false"/>
                <w:bCs w:val="false"/>
                <w:sz w:val="19"/>
                <w:szCs w:val="19"/>
              </w:rPr>
              <w:t xml:space="preserve">24. Insurance</w:t>
            </w:r>
          </w:p>
        </w:tc>
        <w:tc>
          <w:tcPr>
            <w:tcW w:type="dxa" w:w="6739"/>
            <w:tcMar>
              <w:top w:type="dxa" w:w="100"/>
              <w:left w:type="dxa" w:w="130"/>
              <w:bottom w:type="dxa" w:w="100"/>
              <w:right w:type="dxa" w:w="130"/>
            </w:tcMar>
          </w:tcPr>
          <w:p>
            <w:pPr>
              <w:spacing w:after="0"/>
            </w:pPr>
            <w:r>
              <w:rPr>
                <w:b w:val="false"/>
                <w:bCs w:val="false"/>
                <w:sz w:val="19"/>
                <w:szCs w:val="19"/>
              </w:rPr>
              <w:t xml:space="preserve">Client carries malpractice and general liability. If a patient sues, their carrier is in the room, not just you.</w:t>
            </w:r>
          </w:p>
        </w:tc>
      </w:tr>
      <w:tr>
        <w:tc>
          <w:tcPr>
            <w:tcW w:type="dxa" w:w="2621"/>
            <w:tcMar>
              <w:top w:type="dxa" w:w="100"/>
              <w:left w:type="dxa" w:w="130"/>
              <w:bottom w:type="dxa" w:w="100"/>
              <w:right w:type="dxa" w:w="130"/>
            </w:tcMar>
          </w:tcPr>
          <w:p>
            <w:pPr>
              <w:spacing w:after="0"/>
            </w:pPr>
            <w:r>
              <w:rPr>
                <w:b w:val="false"/>
                <w:bCs w:val="false"/>
                <w:sz w:val="19"/>
                <w:szCs w:val="19"/>
              </w:rPr>
              <w:t xml:space="preserve">29. Indemnification Procedure</w:t>
            </w:r>
          </w:p>
        </w:tc>
        <w:tc>
          <w:tcPr>
            <w:tcW w:type="dxa" w:w="6739"/>
            <w:tcMar>
              <w:top w:type="dxa" w:w="100"/>
              <w:left w:type="dxa" w:w="130"/>
              <w:bottom w:type="dxa" w:w="100"/>
              <w:right w:type="dxa" w:w="130"/>
            </w:tcMar>
          </w:tcPr>
          <w:p>
            <w:pPr>
              <w:spacing w:after="0"/>
            </w:pPr>
            <w:r>
              <w:rPr>
                <w:b w:val="false"/>
                <w:bCs w:val="false"/>
                <w:sz w:val="19"/>
                <w:szCs w:val="19"/>
              </w:rPr>
              <w:t xml:space="preserve">The mechanics: who controls the defense, who pays, who can settle. Without it, an indemnity clause is much harder to actually enforce.</w:t>
            </w:r>
          </w:p>
        </w:tc>
      </w:tr>
    </w:tbl>
    <w:p>
      <w:pPr>
        <w:pStyle w:val="SubHead"/>
      </w:pPr>
      <w:r>
        <w:t xml:space="preserve">Your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F2F0EC" w:color="auto" w:val="clear"/>
            <w:tcMar>
              <w:top w:type="dxa" w:w="100"/>
              <w:left w:type="dxa" w:w="130"/>
              <w:bottom w:type="dxa" w:w="100"/>
              <w:right w:type="dxa" w:w="130"/>
            </w:tcMar>
          </w:tcPr>
          <w:p>
            <w:pPr>
              <w:spacing w:after="0"/>
            </w:pPr>
            <w:r>
              <w:rPr>
                <w:b/>
                <w:bCs/>
                <w:sz w:val="19"/>
                <w:szCs w:val="19"/>
              </w:rPr>
              <w:t xml:space="preserve">Section</w:t>
            </w:r>
          </w:p>
        </w:tc>
        <w:tc>
          <w:tcPr>
            <w:tcW w:type="dxa" w:w="6739"/>
            <w:shd w:fill="F2F0EC" w:color="auto" w:val="clear"/>
            <w:tcMar>
              <w:top w:type="dxa" w:w="100"/>
              <w:left w:type="dxa" w:w="130"/>
              <w:bottom w:type="dxa" w:w="100"/>
              <w:right w:type="dxa" w:w="130"/>
            </w:tcMar>
          </w:tcPr>
          <w:p>
            <w:pPr>
              <w:spacing w:after="0"/>
            </w:pPr>
            <w:r>
              <w:rPr>
                <w:b/>
                <w:bCs/>
                <w:sz w:val="19"/>
                <w:szCs w:val="19"/>
              </w:rPr>
              <w:t xml:space="preserve">What it does</w:t>
            </w:r>
          </w:p>
        </w:tc>
      </w:tr>
      <w:tr>
        <w:tc>
          <w:tcPr>
            <w:tcW w:type="dxa" w:w="2621"/>
            <w:tcMar>
              <w:top w:type="dxa" w:w="100"/>
              <w:left w:type="dxa" w:w="130"/>
              <w:bottom w:type="dxa" w:w="100"/>
              <w:right w:type="dxa" w:w="130"/>
            </w:tcMar>
          </w:tcPr>
          <w:p>
            <w:pPr>
              <w:spacing w:after="0"/>
            </w:pPr>
            <w:r>
              <w:rPr>
                <w:b w:val="false"/>
                <w:bCs w:val="false"/>
                <w:sz w:val="19"/>
                <w:szCs w:val="19"/>
              </w:rPr>
              <w:t xml:space="preserve">18. Intellectual Property</w:t>
            </w:r>
          </w:p>
        </w:tc>
        <w:tc>
          <w:tcPr>
            <w:tcW w:type="dxa" w:w="6739"/>
            <w:tcMar>
              <w:top w:type="dxa" w:w="100"/>
              <w:left w:type="dxa" w:w="130"/>
              <w:bottom w:type="dxa" w:w="100"/>
              <w:right w:type="dxa" w:w="130"/>
            </w:tcMar>
          </w:tcPr>
          <w:p>
            <w:pPr>
              <w:spacing w:after="0"/>
            </w:pPr>
            <w:r>
              <w:rPr>
                <w:b w:val="false"/>
                <w:bCs w:val="false"/>
                <w:sz w:val="19"/>
                <w:szCs w:val="19"/>
              </w:rPr>
              <w:t xml:space="preserve">Client licenses the deliverables once paid in full. You keep your systems, templates, automations, and know-how — the actual asset you are building. Licenses suspend if they stop paying.</w:t>
            </w:r>
          </w:p>
        </w:tc>
      </w:tr>
      <w:tr>
        <w:tc>
          <w:tcPr>
            <w:tcW w:type="dxa" w:w="2621"/>
            <w:tcMar>
              <w:top w:type="dxa" w:w="100"/>
              <w:left w:type="dxa" w:w="130"/>
              <w:bottom w:type="dxa" w:w="100"/>
              <w:right w:type="dxa" w:w="130"/>
            </w:tcMar>
          </w:tcPr>
          <w:p>
            <w:pPr>
              <w:spacing w:after="0"/>
            </w:pPr>
            <w:r>
              <w:rPr>
                <w:b w:val="false"/>
                <w:bCs w:val="false"/>
                <w:sz w:val="19"/>
                <w:szCs w:val="19"/>
              </w:rPr>
              <w:t xml:space="preserve">19. Publicity and Portfolio</w:t>
            </w:r>
          </w:p>
        </w:tc>
        <w:tc>
          <w:tcPr>
            <w:tcW w:type="dxa" w:w="6739"/>
            <w:tcMar>
              <w:top w:type="dxa" w:w="100"/>
              <w:left w:type="dxa" w:w="130"/>
              <w:bottom w:type="dxa" w:w="100"/>
              <w:right w:type="dxa" w:w="130"/>
            </w:tcMar>
          </w:tcPr>
          <w:p>
            <w:pPr>
              <w:spacing w:after="0"/>
            </w:pPr>
            <w:r>
              <w:rPr>
                <w:b w:val="false"/>
                <w:bCs w:val="false"/>
                <w:sz w:val="19"/>
                <w:szCs w:val="19"/>
              </w:rPr>
              <w:t xml:space="preserve">You can name them and show the work, with an opt-out. This is how you build case studies without asking permission every time.</w:t>
            </w:r>
          </w:p>
        </w:tc>
      </w:tr>
      <w:tr>
        <w:tc>
          <w:tcPr>
            <w:tcW w:type="dxa" w:w="2621"/>
            <w:tcMar>
              <w:top w:type="dxa" w:w="100"/>
              <w:left w:type="dxa" w:w="130"/>
              <w:bottom w:type="dxa" w:w="100"/>
              <w:right w:type="dxa" w:w="130"/>
            </w:tcMar>
          </w:tcPr>
          <w:p>
            <w:pPr>
              <w:spacing w:after="0"/>
            </w:pPr>
            <w:r>
              <w:rPr>
                <w:b w:val="false"/>
                <w:bCs w:val="false"/>
                <w:sz w:val="19"/>
                <w:szCs w:val="19"/>
              </w:rPr>
              <w:t xml:space="preserve">21. Non-Solicitation</w:t>
            </w:r>
          </w:p>
        </w:tc>
        <w:tc>
          <w:tcPr>
            <w:tcW w:type="dxa" w:w="6739"/>
            <w:tcMar>
              <w:top w:type="dxa" w:w="100"/>
              <w:left w:type="dxa" w:w="130"/>
              <w:bottom w:type="dxa" w:w="100"/>
              <w:right w:type="dxa" w:w="130"/>
            </w:tcMar>
          </w:tcPr>
          <w:p>
            <w:pPr>
              <w:spacing w:after="0"/>
            </w:pPr>
            <w:r>
              <w:rPr>
                <w:b w:val="false"/>
                <w:bCs w:val="false"/>
                <w:sz w:val="19"/>
                <w:szCs w:val="19"/>
              </w:rPr>
              <w:t xml:space="preserve">They cannot hire your people for 12 months. If they do: the greater of $25,000 or 50% of first-year comp.</w:t>
            </w:r>
          </w:p>
        </w:tc>
      </w:tr>
      <w:tr>
        <w:tc>
          <w:tcPr>
            <w:tcW w:type="dxa" w:w="2621"/>
            <w:tcMar>
              <w:top w:type="dxa" w:w="100"/>
              <w:left w:type="dxa" w:w="130"/>
              <w:bottom w:type="dxa" w:w="100"/>
              <w:right w:type="dxa" w:w="130"/>
            </w:tcMar>
          </w:tcPr>
          <w:p>
            <w:pPr>
              <w:spacing w:after="0"/>
            </w:pPr>
            <w:r>
              <w:rPr>
                <w:b w:val="false"/>
                <w:bCs w:val="false"/>
                <w:sz w:val="19"/>
                <w:szCs w:val="19"/>
              </w:rPr>
              <w:t xml:space="preserve">23. Representations and Warranties</w:t>
            </w:r>
          </w:p>
        </w:tc>
        <w:tc>
          <w:tcPr>
            <w:tcW w:type="dxa" w:w="6739"/>
            <w:tcMar>
              <w:top w:type="dxa" w:w="100"/>
              <w:left w:type="dxa" w:w="130"/>
              <w:bottom w:type="dxa" w:w="100"/>
              <w:right w:type="dxa" w:w="130"/>
            </w:tcMar>
          </w:tcPr>
          <w:p>
            <w:pPr>
              <w:spacing w:after="0"/>
            </w:pPr>
            <w:r>
              <w:rPr>
                <w:b w:val="false"/>
                <w:bCs w:val="false"/>
                <w:sz w:val="19"/>
                <w:szCs w:val="19"/>
              </w:rPr>
              <w:t xml:space="preserve">They warrant they are licensed everywhere they advertise and that their content is truthful and lawful. You warrant professional, workmanlike service. Mutual warranties are what make the document read as fair.</w:t>
            </w:r>
          </w:p>
        </w:tc>
      </w:tr>
      <w:tr>
        <w:tc>
          <w:tcPr>
            <w:tcW w:type="dxa" w:w="2621"/>
            <w:tcMar>
              <w:top w:type="dxa" w:w="100"/>
              <w:left w:type="dxa" w:w="130"/>
              <w:bottom w:type="dxa" w:w="100"/>
              <w:right w:type="dxa" w:w="130"/>
            </w:tcMar>
          </w:tcPr>
          <w:p>
            <w:pPr>
              <w:spacing w:after="0"/>
            </w:pPr>
            <w:r>
              <w:rPr>
                <w:b w:val="false"/>
                <w:bCs w:val="false"/>
                <w:sz w:val="19"/>
                <w:szCs w:val="19"/>
              </w:rPr>
              <w:t xml:space="preserve">28. Limited IP Indemnity from Stay Booked</w:t>
            </w:r>
          </w:p>
        </w:tc>
        <w:tc>
          <w:tcPr>
            <w:tcW w:type="dxa" w:w="6739"/>
            <w:tcMar>
              <w:top w:type="dxa" w:w="100"/>
              <w:left w:type="dxa" w:w="130"/>
              <w:bottom w:type="dxa" w:w="100"/>
              <w:right w:type="dxa" w:w="130"/>
            </w:tcMar>
          </w:tcPr>
          <w:p>
            <w:pPr>
              <w:spacing w:after="0"/>
            </w:pPr>
            <w:r>
              <w:rPr>
                <w:b w:val="false"/>
                <w:bCs w:val="false"/>
                <w:sz w:val="19"/>
                <w:szCs w:val="19"/>
              </w:rPr>
              <w:t xml:space="preserve">You cover them if creative you made infringes a copyright or trademark. Low real risk, high trust value, and it is capped by Section 26.</w:t>
            </w:r>
          </w:p>
        </w:tc>
      </w:tr>
      <w:tr>
        <w:tc>
          <w:tcPr>
            <w:tcW w:type="dxa" w:w="2621"/>
            <w:tcMar>
              <w:top w:type="dxa" w:w="100"/>
              <w:left w:type="dxa" w:w="130"/>
              <w:bottom w:type="dxa" w:w="100"/>
              <w:right w:type="dxa" w:w="130"/>
            </w:tcMar>
          </w:tcPr>
          <w:p>
            <w:pPr>
              <w:spacing w:after="0"/>
            </w:pPr>
            <w:r>
              <w:rPr>
                <w:b w:val="false"/>
                <w:bCs w:val="false"/>
                <w:sz w:val="19"/>
                <w:szCs w:val="19"/>
              </w:rPr>
              <w:t xml:space="preserve">31. Dispute Resolution</w:t>
            </w:r>
          </w:p>
        </w:tc>
        <w:tc>
          <w:tcPr>
            <w:tcW w:type="dxa" w:w="6739"/>
            <w:tcMar>
              <w:top w:type="dxa" w:w="100"/>
              <w:left w:type="dxa" w:w="130"/>
              <w:bottom w:type="dxa" w:w="100"/>
              <w:right w:type="dxa" w:w="130"/>
            </w:tcMar>
          </w:tcPr>
          <w:p>
            <w:pPr>
              <w:spacing w:after="0"/>
            </w:pPr>
            <w:r>
              <w:rPr>
                <w:b w:val="false"/>
                <w:bCs w:val="false"/>
                <w:sz w:val="19"/>
                <w:szCs w:val="19"/>
              </w:rPr>
              <w:t xml:space="preserve">Talk, then mediate, then arbitrate in Hillsborough County. Jury and class action waived. One-year deadline to bring any claim. Loser pays attorneys’ fees — which discourages nuisance claims.</w:t>
            </w:r>
          </w:p>
        </w:tc>
      </w:tr>
    </w:tbl>
    <w:p>
      <w:pPr>
        <w:pageBreakBefore/>
      </w:pPr>
    </w:p>
    <w:p>
      <w:pPr>
        <w:pStyle w:val="SectionHead"/>
      </w:pPr>
      <w:r>
        <w:t xml:space="preserve">Clauses that got stronger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246"/>
        <w:gridCol w:w="5616"/>
      </w:tblGrid>
      <w:tr>
        <w:trPr>
          <w:tblHeader/>
        </w:trPr>
        <w:tc>
          <w:tcPr>
            <w:tcW w:type="dxa" w:w="1498"/>
            <w:shd w:fill="F2F0EC" w:color="auto" w:val="clear"/>
            <w:tcMar>
              <w:top w:type="dxa" w:w="100"/>
              <w:left w:type="dxa" w:w="130"/>
              <w:bottom w:type="dxa" w:w="100"/>
              <w:right w:type="dxa" w:w="130"/>
            </w:tcMar>
          </w:tcPr>
          <w:p>
            <w:pPr>
              <w:spacing w:after="0"/>
            </w:pPr>
            <w:r>
              <w:rPr>
                <w:b/>
                <w:bCs/>
                <w:sz w:val="19"/>
                <w:szCs w:val="19"/>
              </w:rPr>
              <w:t xml:space="preserve">Clause</w:t>
            </w:r>
          </w:p>
        </w:tc>
        <w:tc>
          <w:tcPr>
            <w:tcW w:type="dxa" w:w="2246"/>
            <w:shd w:fill="F2F0EC" w:color="auto" w:val="clear"/>
            <w:tcMar>
              <w:top w:type="dxa" w:w="100"/>
              <w:left w:type="dxa" w:w="130"/>
              <w:bottom w:type="dxa" w:w="100"/>
              <w:right w:type="dxa" w:w="130"/>
            </w:tcMar>
          </w:tcPr>
          <w:p>
            <w:pPr>
              <w:spacing w:after="0"/>
            </w:pPr>
            <w:r>
              <w:rPr>
                <w:b/>
                <w:bCs/>
                <w:sz w:val="19"/>
                <w:szCs w:val="19"/>
              </w:rPr>
              <w:t xml:space="preserve">Before</w:t>
            </w:r>
          </w:p>
        </w:tc>
        <w:tc>
          <w:tcPr>
            <w:tcW w:type="dxa" w:w="5616"/>
            <w:shd w:fill="F2F0EC" w:color="auto" w:val="clear"/>
            <w:tcMar>
              <w:top w:type="dxa" w:w="100"/>
              <w:left w:type="dxa" w:w="130"/>
              <w:bottom w:type="dxa" w:w="100"/>
              <w:right w:type="dxa" w:w="130"/>
            </w:tcMar>
          </w:tcPr>
          <w:p>
            <w:pPr>
              <w:spacing w:after="0"/>
            </w:pPr>
            <w:r>
              <w:rPr>
                <w:b/>
                <w:bCs/>
                <w:sz w:val="19"/>
                <w:szCs w:val="19"/>
              </w:rPr>
              <w:t xml:space="preserve">Now</w:t>
            </w:r>
          </w:p>
        </w:tc>
      </w:tr>
      <w:tr>
        <w:tc>
          <w:tcPr>
            <w:tcW w:type="dxa" w:w="1498"/>
            <w:tcMar>
              <w:top w:type="dxa" w:w="100"/>
              <w:left w:type="dxa" w:w="130"/>
              <w:bottom w:type="dxa" w:w="100"/>
              <w:right w:type="dxa" w:w="130"/>
            </w:tcMar>
          </w:tcPr>
          <w:p>
            <w:pPr>
              <w:spacing w:after="0"/>
            </w:pPr>
            <w:r>
              <w:rPr>
                <w:b w:val="false"/>
                <w:bCs w:val="false"/>
                <w:sz w:val="19"/>
                <w:szCs w:val="19"/>
              </w:rPr>
              <w:t xml:space="preserve">Client responsibilities</w:t>
            </w:r>
          </w:p>
        </w:tc>
        <w:tc>
          <w:tcPr>
            <w:tcW w:type="dxa" w:w="2246"/>
            <w:tcMar>
              <w:top w:type="dxa" w:w="100"/>
              <w:left w:type="dxa" w:w="130"/>
              <w:bottom w:type="dxa" w:w="100"/>
              <w:right w:type="dxa" w:w="130"/>
            </w:tcMar>
          </w:tcPr>
          <w:p>
            <w:pPr>
              <w:spacing w:after="0"/>
            </w:pPr>
            <w:r>
              <w:rPr>
                <w:b w:val="false"/>
                <w:bCs w:val="false"/>
                <w:sz w:val="19"/>
                <w:szCs w:val="19"/>
              </w:rPr>
              <w:t xml:space="preserve">Six bullets, general.</w:t>
            </w:r>
          </w:p>
        </w:tc>
        <w:tc>
          <w:tcPr>
            <w:tcW w:type="dxa" w:w="5616"/>
            <w:tcMar>
              <w:top w:type="dxa" w:w="100"/>
              <w:left w:type="dxa" w:w="130"/>
              <w:bottom w:type="dxa" w:w="100"/>
              <w:right w:type="dxa" w:w="130"/>
            </w:tcMar>
          </w:tcPr>
          <w:p>
            <w:pPr>
              <w:spacing w:after="0"/>
            </w:pPr>
            <w:r>
              <w:rPr>
                <w:b w:val="false"/>
                <w:bCs w:val="false"/>
                <w:sz w:val="19"/>
                <w:szCs w:val="19"/>
              </w:rPr>
              <w:t xml:space="preserve">Eight bullets covering clinical care, licensure and supervision disclosures, attending booked appointments, content accuracy, their own compliance, their systems and staffing, reviewing what you send, and their people’s mistakes.</w:t>
            </w:r>
          </w:p>
        </w:tc>
      </w:tr>
      <w:tr>
        <w:tc>
          <w:tcPr>
            <w:tcW w:type="dxa" w:w="1498"/>
            <w:tcMar>
              <w:top w:type="dxa" w:w="100"/>
              <w:left w:type="dxa" w:w="130"/>
              <w:bottom w:type="dxa" w:w="100"/>
              <w:right w:type="dxa" w:w="130"/>
            </w:tcMar>
          </w:tcPr>
          <w:p>
            <w:pPr>
              <w:spacing w:after="0"/>
            </w:pPr>
            <w:r>
              <w:rPr>
                <w:b w:val="false"/>
                <w:bCs w:val="false"/>
                <w:sz w:val="19"/>
                <w:szCs w:val="19"/>
              </w:rPr>
              <w:t xml:space="preserve">No guarantee of results</w:t>
            </w:r>
          </w:p>
        </w:tc>
        <w:tc>
          <w:tcPr>
            <w:tcW w:type="dxa" w:w="2246"/>
            <w:tcMar>
              <w:top w:type="dxa" w:w="100"/>
              <w:left w:type="dxa" w:w="130"/>
              <w:bottom w:type="dxa" w:w="100"/>
              <w:right w:type="dxa" w:w="130"/>
            </w:tcMar>
          </w:tcPr>
          <w:p>
            <w:pPr>
              <w:spacing w:after="0"/>
            </w:pPr>
            <w:r>
              <w:rPr>
                <w:b w:val="false"/>
                <w:bCs w:val="false"/>
                <w:sz w:val="19"/>
                <w:szCs w:val="19"/>
              </w:rPr>
              <w:t xml:space="preserve">No specific results promised.</w:t>
            </w:r>
          </w:p>
        </w:tc>
        <w:tc>
          <w:tcPr>
            <w:tcW w:type="dxa" w:w="5616"/>
            <w:tcMar>
              <w:top w:type="dxa" w:w="100"/>
              <w:left w:type="dxa" w:w="130"/>
              <w:bottom w:type="dxa" w:w="100"/>
              <w:right w:type="dxa" w:w="130"/>
            </w:tcMar>
          </w:tcPr>
          <w:p>
            <w:pPr>
              <w:spacing w:after="0"/>
            </w:pPr>
            <w:r>
              <w:rPr>
                <w:b w:val="false"/>
                <w:bCs w:val="false"/>
                <w:sz w:val="19"/>
                <w:szCs w:val="19"/>
              </w:rPr>
              <w:t xml:space="preserve">Adds show rate, booking rate, and cost per lead. States that every estimate, projection, benchmark, and past result you ever showed them is illustrative only and not a term of the contract — this covers what gets said on sales calls.</w:t>
            </w:r>
          </w:p>
        </w:tc>
      </w:tr>
      <w:tr>
        <w:tc>
          <w:tcPr>
            <w:tcW w:type="dxa" w:w="1498"/>
            <w:tcMar>
              <w:top w:type="dxa" w:w="100"/>
              <w:left w:type="dxa" w:w="130"/>
              <w:bottom w:type="dxa" w:w="100"/>
              <w:right w:type="dxa" w:w="130"/>
            </w:tcMar>
          </w:tcPr>
          <w:p>
            <w:pPr>
              <w:spacing w:after="0"/>
            </w:pPr>
            <w:r>
              <w:rPr>
                <w:b w:val="false"/>
                <w:bCs w:val="false"/>
                <w:sz w:val="19"/>
                <w:szCs w:val="19"/>
              </w:rPr>
              <w:t xml:space="preserve">Limitation of liability</w:t>
            </w:r>
          </w:p>
        </w:tc>
        <w:tc>
          <w:tcPr>
            <w:tcW w:type="dxa" w:w="2246"/>
            <w:tcMar>
              <w:top w:type="dxa" w:w="100"/>
              <w:left w:type="dxa" w:w="130"/>
              <w:bottom w:type="dxa" w:w="100"/>
              <w:right w:type="dxa" w:w="130"/>
            </w:tcMar>
          </w:tcPr>
          <w:p>
            <w:pPr>
              <w:spacing w:after="0"/>
            </w:pPr>
            <w:r>
              <w:rPr>
                <w:b w:val="false"/>
                <w:bCs w:val="false"/>
                <w:sz w:val="19"/>
                <w:szCs w:val="19"/>
              </w:rPr>
              <w:t xml:space="preserve">3 months of fees.</w:t>
            </w:r>
          </w:p>
        </w:tc>
        <w:tc>
          <w:tcPr>
            <w:tcW w:type="dxa" w:w="5616"/>
            <w:tcMar>
              <w:top w:type="dxa" w:w="100"/>
              <w:left w:type="dxa" w:w="130"/>
              <w:bottom w:type="dxa" w:w="100"/>
              <w:right w:type="dxa" w:w="130"/>
            </w:tcMar>
          </w:tcPr>
          <w:p>
            <w:pPr>
              <w:spacing w:after="0"/>
            </w:pPr>
            <w:r>
              <w:rPr>
                <w:b w:val="false"/>
                <w:bCs w:val="false"/>
                <w:sz w:val="19"/>
                <w:szCs w:val="19"/>
              </w:rPr>
              <w:t xml:space="preserve">Same cap, plus: ad spend excluded from the cap and not recoverable; explicit no-liability for the client’s failure to follow up with leads; survives even if a remedy fails its essential purpose.</w:t>
            </w:r>
          </w:p>
        </w:tc>
      </w:tr>
      <w:tr>
        <w:tc>
          <w:tcPr>
            <w:tcW w:type="dxa" w:w="1498"/>
            <w:tcMar>
              <w:top w:type="dxa" w:w="100"/>
              <w:left w:type="dxa" w:w="130"/>
              <w:bottom w:type="dxa" w:w="100"/>
              <w:right w:type="dxa" w:w="130"/>
            </w:tcMar>
          </w:tcPr>
          <w:p>
            <w:pPr>
              <w:spacing w:after="0"/>
            </w:pPr>
            <w:r>
              <w:rPr>
                <w:b w:val="false"/>
                <w:bCs w:val="false"/>
                <w:sz w:val="19"/>
                <w:szCs w:val="19"/>
              </w:rPr>
              <w:t xml:space="preserve">Indemnification</w:t>
            </w:r>
          </w:p>
        </w:tc>
        <w:tc>
          <w:tcPr>
            <w:tcW w:type="dxa" w:w="2246"/>
            <w:tcMar>
              <w:top w:type="dxa" w:w="100"/>
              <w:left w:type="dxa" w:w="130"/>
              <w:bottom w:type="dxa" w:w="100"/>
              <w:right w:type="dxa" w:w="130"/>
            </w:tcMar>
          </w:tcPr>
          <w:p>
            <w:pPr>
              <w:spacing w:after="0"/>
            </w:pPr>
            <w:r>
              <w:rPr>
                <w:b w:val="false"/>
                <w:bCs w:val="false"/>
                <w:sz w:val="19"/>
                <w:szCs w:val="19"/>
              </w:rPr>
              <w:t xml:space="preserve">Four grounds.</w:t>
            </w:r>
          </w:p>
        </w:tc>
        <w:tc>
          <w:tcPr>
            <w:tcW w:type="dxa" w:w="5616"/>
            <w:tcMar>
              <w:top w:type="dxa" w:w="100"/>
              <w:left w:type="dxa" w:w="130"/>
              <w:bottom w:type="dxa" w:w="100"/>
              <w:right w:type="dxa" w:w="130"/>
            </w:tcMar>
          </w:tcPr>
          <w:p>
            <w:pPr>
              <w:spacing w:after="0"/>
            </w:pPr>
            <w:r>
              <w:rPr>
                <w:b w:val="false"/>
                <w:bCs w:val="false"/>
                <w:sz w:val="19"/>
                <w:szCs w:val="19"/>
              </w:rPr>
              <w:t xml:space="preserve">Six grounds, adding their intake and consent practices, their handling of personal information, and failure to keep licenses or insurance.</w:t>
            </w:r>
          </w:p>
        </w:tc>
      </w:tr>
      <w:tr>
        <w:tc>
          <w:tcPr>
            <w:tcW w:type="dxa" w:w="1498"/>
            <w:tcMar>
              <w:top w:type="dxa" w:w="100"/>
              <w:left w:type="dxa" w:w="130"/>
              <w:bottom w:type="dxa" w:w="100"/>
              <w:right w:type="dxa" w:w="130"/>
            </w:tcMar>
          </w:tcPr>
          <w:p>
            <w:pPr>
              <w:spacing w:after="0"/>
            </w:pPr>
            <w:r>
              <w:rPr>
                <w:b w:val="false"/>
                <w:bCs w:val="false"/>
                <w:sz w:val="19"/>
                <w:szCs w:val="19"/>
              </w:rPr>
              <w:t xml:space="preserve">Entire agreement</w:t>
            </w:r>
          </w:p>
        </w:tc>
        <w:tc>
          <w:tcPr>
            <w:tcW w:type="dxa" w:w="2246"/>
            <w:tcMar>
              <w:top w:type="dxa" w:w="100"/>
              <w:left w:type="dxa" w:w="130"/>
              <w:bottom w:type="dxa" w:w="100"/>
              <w:right w:type="dxa" w:w="130"/>
            </w:tcMar>
          </w:tcPr>
          <w:p>
            <w:pPr>
              <w:spacing w:after="0"/>
            </w:pPr>
            <w:r>
              <w:rPr>
                <w:b w:val="false"/>
                <w:bCs w:val="false"/>
                <w:sz w:val="19"/>
                <w:szCs w:val="19"/>
              </w:rPr>
              <w:t xml:space="preserve">Standard.</w:t>
            </w:r>
          </w:p>
        </w:tc>
        <w:tc>
          <w:tcPr>
            <w:tcW w:type="dxa" w:w="5616"/>
            <w:tcMar>
              <w:top w:type="dxa" w:w="100"/>
              <w:left w:type="dxa" w:w="130"/>
              <w:bottom w:type="dxa" w:w="100"/>
              <w:right w:type="dxa" w:w="130"/>
            </w:tcMar>
          </w:tcPr>
          <w:p>
            <w:pPr>
              <w:spacing w:after="0"/>
            </w:pPr>
            <w:r>
              <w:rPr>
                <w:b w:val="false"/>
                <w:bCs w:val="false"/>
                <w:sz w:val="19"/>
                <w:szCs w:val="19"/>
              </w:rPr>
              <w:t xml:space="preserve">Explicitly supersedes prior proposals, pitch materials, and projections — so a number on a slide never becomes a contractual promise.</w:t>
            </w:r>
          </w:p>
        </w:tc>
      </w:tr>
    </w:tbl>
    <w:p>
      <w:pPr>
        <w:pStyle w:val="SectionHead"/>
      </w:pPr>
      <w:r>
        <w:t xml:space="preserve">What changed in the Statement of Work</w:t>
      </w:r>
    </w:p>
    <w:p>
      <w:pPr>
        <w:pStyle w:val="ListParagraph"/>
        <w:numPr>
          <w:ilvl w:val="0"/>
          <w:numId w:val="2"/>
        </w:numPr>
      </w:pPr>
      <w:r>
        <w:t xml:space="preserve">Scope now describes the real product in three parts: campaign build, automated lead response and qualification, and management with monthly reporting and a review call.</w:t>
      </w:r>
    </w:p>
    <w:p>
      <w:pPr>
        <w:pStyle w:val="ListParagraph"/>
        <w:numPr>
          <w:ilvl w:val="0"/>
          <w:numId w:val="2"/>
        </w:numPr>
      </w:pPr>
      <w:r>
        <w:t xml:space="preserve">Out-of-scope list is explicit: no clinical work, no consultations, no staffing their phones, no SEO, no full website builds, no reputation management.</w:t>
      </w:r>
    </w:p>
    <w:p>
      <w:pPr>
        <w:pStyle w:val="ListParagraph"/>
        <w:numPr>
          <w:ilvl w:val="0"/>
          <w:numId w:val="2"/>
        </w:numPr>
      </w:pPr>
      <w:r>
        <w:t xml:space="preserve">Fee and timeline tables replaced paragraphs. Milestones are stated in business days from kickoff, and slip day for day if the client is slow.</w:t>
      </w:r>
    </w:p>
    <w:p>
      <w:pPr>
        <w:pStyle w:val="ListParagraph"/>
        <w:numPr>
          <w:ilvl w:val="0"/>
          <w:numId w:val="2"/>
        </w:numPr>
      </w:pPr>
      <w:r>
        <w:t xml:space="preserve">Initial term is three months, then month to month with 30 days notice. The stated reason — campaign learning — is written in, which makes it easy to defend on a sales call.</w:t>
      </w:r>
    </w:p>
    <w:p>
      <w:pPr>
        <w:pStyle w:val="ListParagraph"/>
        <w:numPr>
          <w:ilvl w:val="0"/>
          <w:numId w:val="2"/>
        </w:numPr>
      </w:pPr>
      <w:r>
        <w:t xml:space="preserve">Assumptions section states what you are relying on: they are licensed, they have calendar capacity, their scheduler allows booking integration, their ad accounts are in good standing, and the budget is enough to be meaningful.</w:t>
      </w:r>
    </w:p>
    <w:p>
      <w:pPr>
        <w:pStyle w:val="ListParagraph"/>
        <w:numPr>
          <w:ilvl w:val="0"/>
          <w:numId w:val="2"/>
        </w:numPr>
      </w:pPr>
      <w:r>
        <w:t xml:space="preserve">Client responsibilities now include keeping calendar availability open for the volume they asked you to generate.</w:t>
      </w:r>
    </w:p>
    <w:p>
      <w:pPr>
        <w:pStyle w:val="SectionHead"/>
      </w:pPr>
      <w:r>
        <w:t xml:space="preserve">Formatting</w:t>
      </w:r>
    </w:p>
    <w:p>
      <w:r>
        <w:t xml:space="preserve">Bold now appears only on titles and section headings, plus table headers and the signature block labels. No sentence inside the body text is bolded anymore, including the liability sentence in Section 10.</w:t>
      </w:r>
    </w:p>
    <w:p>
      <w:pPr>
        <w:pStyle w:val="SectionHead"/>
      </w:pPr>
      <w:r>
        <w:t xml:space="preserve">Before you send this to a client</w:t>
      </w:r>
    </w:p>
    <w:p>
      <w:pPr>
        <w:pStyle w:val="ListParagraph"/>
        <w:numPr>
          <w:ilvl w:val="0"/>
          <w:numId w:val="2"/>
        </w:numPr>
      </w:pPr>
      <w:r>
        <w:t xml:space="preserve">Fill the blanks: practice name, entity type and state, address, authorized signer, billing email, phone. In the SOW, add the starting monthly ad spend budget and the target launch date.</w:t>
      </w:r>
    </w:p>
    <w:p>
      <w:pPr>
        <w:pStyle w:val="ListParagraph"/>
        <w:numPr>
          <w:ilvl w:val="0"/>
          <w:numId w:val="2"/>
        </w:numPr>
      </w:pPr>
      <w:r>
        <w:t xml:space="preserve">Decide on the three-month initial term. It is defensible and good for both sides, but it is your call — say the word and it becomes month to month from day one.</w:t>
      </w:r>
    </w:p>
    <w:p>
      <w:pPr>
        <w:pStyle w:val="ListParagraph"/>
        <w:numPr>
          <w:ilvl w:val="0"/>
          <w:numId w:val="2"/>
        </w:numPr>
      </w:pPr>
      <w:r>
        <w:t xml:space="preserve">Have an attorney review it once. It is drafted carefully, but it is a healthcare client and one review protects everything built on top of it.</w:t>
      </w:r>
    </w:p>
    <w:p>
      <w:pPr>
        <w:pStyle w:val="ListParagraph"/>
        <w:numPr>
          <w:ilvl w:val="0"/>
          <w:numId w:val="2"/>
        </w:numPr>
      </w:pPr>
      <w:r>
        <w:t xml:space="preserve">Decide whether you want a Business Associate Agreement template ready in advance, so you are not scrambling if a client asks for one mid-deal.</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color w:val="777777"/>
        <w:sz w:val="17"/>
        <w:szCs w:val="17"/>
      </w:rPr>
      <w:t xml:space="preserve">Contract Update Summary — Stay Booked Marketing LLC  ·  Page </w:t>
    </w:r>
    <w:r>
      <w:rPr>
        <w:color w:val="777777"/>
        <w:sz w:val="17"/>
        <w:szCs w:val="17"/>
      </w:rPr>
      <w:fldChar w:fldCharType="begin"/>
      <w:instrText xml:space="preserve">PAGE</w:instrText>
      <w:fldChar w:fldCharType="separate"/>
      <w:fldChar w:fldCharType="end"/>
    </w:r>
    <w:r>
      <w:rPr>
        <w:color w:val="777777"/>
        <w:sz w:val="17"/>
        <w:szCs w:val="17"/>
      </w:rPr>
      <w:t xml:space="preserve"> of </w:t>
    </w:r>
    <w:r>
      <w:rPr>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60"/>
      <w:jc w:val="center"/>
    </w:pPr>
    <w:rPr>
      <w:b/>
      <w:bCs/>
      <w:color w:val="111111"/>
      <w:sz w:val="32"/>
      <w:szCs w:val="32"/>
    </w:rPr>
  </w:style>
  <w:style w:type="paragraph" w:styleId="DocSub">
    <w:name w:val="Doc Subtitle"/>
    <w:basedOn w:val="Normal"/>
    <w:pPr>
      <w:spacing w:after="320"/>
      <w:jc w:val="center"/>
    </w:pPr>
    <w:rPr>
      <w:i/>
      <w:iCs/>
      <w:color w:val="5A5A5A"/>
      <w:sz w:val="19"/>
      <w:szCs w:val="19"/>
    </w:rPr>
  </w:style>
  <w:style w:type="paragraph" w:styleId="SectionHead">
    <w:name w:val="Section Head"/>
    <w:basedOn w:val="Normal"/>
    <w:next w:val="Normal"/>
    <w:pPr>
      <w:keepNext/>
      <w:spacing w:after="110" w:before="280"/>
    </w:pPr>
    <w:rPr>
      <w:b/>
      <w:bCs/>
      <w:color w:val="111111"/>
      <w:sz w:val="22"/>
      <w:szCs w:val="22"/>
    </w:rPr>
  </w:style>
  <w:style w:type="paragraph" w:styleId="SubHead">
    <w:name w:val="Sub Head"/>
    <w:basedOn w:val="Normal"/>
    <w:next w:val="Normal"/>
    <w:pPr>
      <w:keepNext/>
      <w:spacing w:after="90" w:before="200"/>
    </w:pPr>
    <w:rPr>
      <w:b/>
      <w:bCs/>
      <w:color w:val="222222"/>
      <w:sz w:val="21"/>
      <w:szCs w:val="21"/>
    </w:rPr>
  </w:style>
  <w:style w:type="paragraph" w:styleId="Quiet">
    <w:name w:val="Quiet"/>
    <w:basedOn w:val="Normal"/>
    <w:pPr>
      <w:spacing w:after="140"/>
    </w:pPr>
    <w:rPr>
      <w:i/>
      <w:iCs/>
      <w:color w:val="5A5A5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2026-08-18T16:18:55.782Z</dcterms:created>
  <dcterms:modified xsi:type="dcterms:W3CDTF">2026-08-18T16:18:55.810Z</dcterms:modified>
</cp:coreProperties>
</file>

<file path=docProps/custom.xml><?xml version="1.0" encoding="utf-8"?>
<Properties xmlns="http://schemas.openxmlformats.org/officeDocument/2006/custom-properties" xmlns:vt="http://schemas.openxmlformats.org/officeDocument/2006/docPropsVTypes"/>
</file>