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MEETING REFERENCE GUIDE</w:t>
      </w:r>
    </w:p>
    <w:p>
      <w:pPr>
        <w:pStyle w:val="DocSub"/>
      </w:pPr>
      <w:r>
        <w:t xml:space="preserve">Texas psychiatric NP practice — Spravato / esketamine</w:t>
      </w:r>
    </w:p>
    <w:p>
      <w:pPr>
        <w:pStyle w:val="Quiet"/>
      </w:pPr>
      <w:r>
        <w:t xml:space="preserve">Internal study reference for client meetings. Definitions are plain-language working definitions for conversation, not legal or clinical definitions. Anything marked “confirm” should be verified with her or with counsel rather than asserted.</w:t>
      </w:r>
    </w:p>
    <w:p>
      <w:pPr>
        <w:pStyle w:val="SectionHead"/>
      </w:pPr>
      <w:r>
        <w:t xml:space="preserve">The ten to know cold</w:t>
      </w:r>
    </w:p>
    <w:p>
      <w:r>
        <w:t xml:space="preserve">If you only memorize ten, memorize these. They will come up in the first twenty minutes and each one signals whether you understand her world.</w:t>
      </w:r>
    </w:p>
    <w:p>
      <w:pPr>
        <w:pStyle w:val="ListParagraph"/>
        <w:numPr>
          <w:ilvl w:val="0"/>
          <w:numId w:val="2"/>
        </w:numPr>
      </w:pPr>
      <w:r>
        <w:t xml:space="preserve">PMHNP — Psychiatric-Mental Health Nurse Practitioner. Very likely her credential.</w:t>
      </w:r>
    </w:p>
    <w:p>
      <w:pPr>
        <w:pStyle w:val="ListParagraph"/>
        <w:numPr>
          <w:ilvl w:val="0"/>
          <w:numId w:val="2"/>
        </w:numPr>
      </w:pPr>
      <w:r>
        <w:t xml:space="preserve">PAA — Prescriptive Authority Agreement. The document that lets her prescribe in Texas.</w:t>
      </w:r>
    </w:p>
    <w:p>
      <w:pPr>
        <w:pStyle w:val="ListParagraph"/>
        <w:numPr>
          <w:ilvl w:val="0"/>
          <w:numId w:val="2"/>
        </w:numPr>
      </w:pPr>
      <w:r>
        <w:t xml:space="preserve">TRD — Treatment-resistant depression. The condition Spravato treats and the insurance gate.</w:t>
      </w:r>
    </w:p>
    <w:p>
      <w:pPr>
        <w:pStyle w:val="ListParagraph"/>
        <w:numPr>
          <w:ilvl w:val="0"/>
          <w:numId w:val="2"/>
        </w:numPr>
      </w:pPr>
      <w:r>
        <w:t xml:space="preserve">REMS — The federal safety program that controls how Spravato can be given.</w:t>
      </w:r>
    </w:p>
    <w:p>
      <w:pPr>
        <w:pStyle w:val="ListParagraph"/>
        <w:numPr>
          <w:ilvl w:val="0"/>
          <w:numId w:val="2"/>
        </w:numPr>
      </w:pPr>
      <w:r>
        <w:t xml:space="preserve">PHI — Protected health information. The thing we design to avoid touching.</w:t>
      </w:r>
    </w:p>
    <w:p>
      <w:pPr>
        <w:pStyle w:val="ListParagraph"/>
        <w:numPr>
          <w:ilvl w:val="0"/>
          <w:numId w:val="2"/>
        </w:numPr>
      </w:pPr>
      <w:r>
        <w:t xml:space="preserve">BAA — Business Associate Agreement. What we sign if we do touch it.</w:t>
      </w:r>
    </w:p>
    <w:p>
      <w:pPr>
        <w:pStyle w:val="ListParagraph"/>
        <w:numPr>
          <w:ilvl w:val="0"/>
          <w:numId w:val="2"/>
        </w:numPr>
      </w:pPr>
      <w:r>
        <w:t xml:space="preserve">HB 300 — Texas privacy law, broader than HIPAA.</w:t>
      </w:r>
    </w:p>
    <w:p>
      <w:pPr>
        <w:pStyle w:val="ListParagraph"/>
        <w:numPr>
          <w:ilvl w:val="0"/>
          <w:numId w:val="2"/>
        </w:numPr>
      </w:pPr>
      <w:r>
        <w:t xml:space="preserve">PA — Prior authorization. The insurance step that decides if she gets paid.</w:t>
      </w:r>
    </w:p>
    <w:p>
      <w:pPr>
        <w:pStyle w:val="ListParagraph"/>
        <w:numPr>
          <w:ilvl w:val="0"/>
          <w:numId w:val="2"/>
        </w:numPr>
      </w:pPr>
      <w:r>
        <w:t xml:space="preserve">AKS — Anti-Kickback Statute. Why we charge flat fees.</w:t>
      </w:r>
    </w:p>
    <w:p>
      <w:pPr>
        <w:pStyle w:val="ListParagraph"/>
        <w:numPr>
          <w:ilvl w:val="0"/>
          <w:numId w:val="2"/>
        </w:numPr>
      </w:pPr>
      <w:r>
        <w:t xml:space="preserve">Induction and maintenance — the two phases of her treatment schedule.</w:t>
      </w:r>
    </w:p>
    <w:p>
      <w:pPr>
        <w:pStyle w:val="SectionHead"/>
      </w:pPr>
      <w:r>
        <w:t xml:space="preserve">The six sections you will actually cite out loud</w:t>
      </w:r>
    </w:p>
    <w:p>
      <w:pPr>
        <w:spacing w:after="150"/>
      </w:pPr>
      <w:r>
        <w:rPr>
          <w:color w:val="5A5A5A"/>
          <w:sz w:val="19"/>
          <w:szCs w:val="19"/>
        </w:rPr>
        <w:t xml:space="preserve">Know these six by number. Citing a section by number in a compliance conversation is the single fastest way to sound like a firm rather than a freelancer.</w:t>
      </w:r>
    </w:p>
    <w:p>
      <w:pPr>
        <w:pStyle w:val="ListParagraph"/>
        <w:numPr>
          <w:ilvl w:val="0"/>
          <w:numId w:val="2"/>
        </w:numPr>
      </w:pPr>
      <w:r>
        <w:t xml:space="preserve">Section 4 — Approvals. She is the final approver, and anything not reviewed in three business days is deemed approved.</w:t>
      </w:r>
    </w:p>
    <w:p>
      <w:pPr>
        <w:pStyle w:val="ListParagraph"/>
        <w:numPr>
          <w:ilvl w:val="0"/>
          <w:numId w:val="2"/>
        </w:numPr>
      </w:pPr>
      <w:r>
        <w:t xml:space="preserve">Section 11 — Lead handling and consent. She is the sender of record for texts and emails.</w:t>
      </w:r>
    </w:p>
    <w:p>
      <w:pPr>
        <w:pStyle w:val="ListParagraph"/>
        <w:numPr>
          <w:ilvl w:val="0"/>
          <w:numId w:val="2"/>
        </w:numPr>
      </w:pPr>
      <w:r>
        <w:t xml:space="preserve">Section 12 — Protected health information. PHI minimized; if a BAA is signed it governs PHI and overrides the agreement.</w:t>
      </w:r>
    </w:p>
    <w:p>
      <w:pPr>
        <w:pStyle w:val="ListParagraph"/>
        <w:numPr>
          <w:ilvl w:val="0"/>
          <w:numId w:val="2"/>
        </w:numPr>
      </w:pPr>
      <w:r>
        <w:t xml:space="preserve">Section 14 — Platform policies. Meta and Google approve independently; nobody can promise approval.</w:t>
      </w:r>
    </w:p>
    <w:p>
      <w:pPr>
        <w:pStyle w:val="ListParagraph"/>
        <w:numPr>
          <w:ilvl w:val="0"/>
          <w:numId w:val="2"/>
        </w:numPr>
      </w:pPr>
      <w:r>
        <w:t xml:space="preserve">Section 15 — No guarantee of results. Say it before she asks.</w:t>
      </w:r>
    </w:p>
    <w:p>
      <w:pPr>
        <w:pStyle w:val="ListParagraph"/>
        <w:numPr>
          <w:ilvl w:val="0"/>
          <w:numId w:val="2"/>
        </w:numPr>
      </w:pPr>
      <w:r>
        <w:t xml:space="preserve">Section 16 — No legal, medical, or regulatory advice. You are not her attorney or compliance officer.</w:t>
      </w:r>
    </w:p>
    <w:p>
      <w:pPr>
        <w:pageBreakBefore/>
      </w:pPr>
    </w:p>
    <w:p>
      <w:pPr>
        <w:pStyle w:val="SectionHead"/>
      </w:pPr>
      <w:r>
        <w:t xml:space="preserve">Contract section map — Marketing Services Agreement</w:t>
      </w:r>
    </w:p>
    <w:p>
      <w:pPr>
        <w:spacing w:after="150"/>
      </w:pPr>
      <w:r>
        <w:rPr>
          <w:color w:val="5A5A5A"/>
          <w:sz w:val="19"/>
          <w:szCs w:val="19"/>
        </w:rPr>
        <w:t xml:space="preserve">Use this to find anything fast when she asks “where does it say that?”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2"/>
        <w:gridCol w:w="3182"/>
        <w:gridCol w:w="5616"/>
      </w:tblGrid>
      <w:tr>
        <w:trPr>
          <w:tblHeader/>
        </w:trPr>
        <w:tc>
          <w:tcPr>
            <w:tcW w:type="dxa" w:w="562"/>
            <w:shd w:fill="F2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182"/>
            <w:shd w:fill="F2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5616"/>
            <w:shd w:fill="F2F0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Definitions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Services, SOW, Ad Spend, Client Content, Lead, Deliverables, Platform.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Services and Statements of Work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 is defined by the SOW; anything not in it is out of scope.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 and Client Access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provides access; her delays push our deadlines day for day.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Approvals, Review, and Turnaround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Deemed approval after three business days. She is the final approver of every claim.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Change Requests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changes only count in writing. The scope-creep shield.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Fees and Payment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method on file, 1.5% monthly late interest, chargeback protection, 60-day notice on increases.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Advertising Spend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card, her budget, separate from our fee, excluded from any cap.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Term, Renewal, and Termination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Auto-renews monthly, 30 days notice, immediate suspension for nonpayment or legal risk.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 of Termination and Transition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export and two hours of transition help if her account is current.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Client Responsibilities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clinical care, licensure, lead follow-up, content, compliance, and her people’s mistakes.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Handling, Consent, Communications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TCPA. We send as her agent; she is the sender of record.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Protected Health Information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PHI minimized by design. A signed BAA governs PHI and overrides this agreement on that subject.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Ownership, Privacy, Security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owns her lead data. We keep aggregated, de-identified performance data.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Policies and Account Actions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Platforms approve, restrict, and ban independently. We appeal; we do not promise.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Guarantee of Results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promised leads, appointments, patients, or revenue. Projections are illustrative only.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Legal, Medical, or Regulatory Advice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Our compliance review is a courtesy, not a duty to catch violations.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Third-Party Platforms and Vendors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liability for outages, bans, vendor failures, or product changes.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Intellectual Property and License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licenses deliverables on payment in full. We keep our systems and know-how.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Publicity and Portfolio Rights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 may show the work. She may opt out in writing.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Mutual, three years, indefinite for trade secrets.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Non-Solicitation of Personnel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Twelve months. Greater of $25,000 or 50% of first-year compensation.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Independent Contractor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partnership or employment, except the limited communications agency in Section 11.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Representations and Warranties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is licensed and her content is truthful. We perform professionally and workmanlike.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Insurance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carries malpractice and general liability, and furnishes a certificate on request.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Disclaimer of Warranties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is, as available, beyond the express warranty in Section 23.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Limitation of Liability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months of fees. Ad spend excluded from the cap and not recoverable.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Indemnification by Client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care, content, compliance, intake and consent, licenses and insurance, and breach.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Limited Indemnification by Stay Booked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 cover IP infringement claims on creative we made, subject to Section 26.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Indemnification Procedure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Who defends, who pays, who may settle.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Force Majeure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Disasters, outages, platform failures, government action.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Dispute Resolution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Talk, then mediate, then arbitrate. One-year deadline. Prevailing party recovers fees.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Governing Law and Venue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Florida law, Hillsborough County.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Notices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and how notice counts as given.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 Provisions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Entire agreement, amendment, assignment, severability, counterparts.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Exhibit A — Client Acknowledgments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Eight initialed lines covering no guarantees, her clinical care, and her follow-up.</w:t>
            </w:r>
          </w:p>
        </w:tc>
      </w:tr>
      <w:tr>
        <w:tc>
          <w:tcPr>
            <w:tcW w:type="dxa" w:w="56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318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Exhibit B — Onboarding Checklist</w:t>
            </w:r>
          </w:p>
        </w:tc>
        <w:tc>
          <w:tcPr>
            <w:tcW w:type="dxa" w:w="56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Twelve items she provides. Delivery of the last one starts our timeline.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Vocabulary</w:t>
      </w:r>
    </w:p>
    <w:p>
      <w:pPr>
        <w:spacing w:after="150"/>
      </w:pPr>
      <w:r>
        <w:rPr>
          <w:color w:val="5A5A5A"/>
          <w:sz w:val="19"/>
          <w:szCs w:val="19"/>
        </w:rPr>
        <w:t xml:space="preserve">Grouped by where it comes up in conversation.</w:t>
      </w:r>
    </w:p>
    <w:p>
      <w:pPr>
        <w:pStyle w:val="SectionHead"/>
      </w:pPr>
      <w:r>
        <w:t xml:space="preserve">1. Her license and scope (Texas)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Advanced Practice Registered Nurse. The umbrella license category for NPs in Texas.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legal title. Getting it wrong in an ad is a board complaint.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NP / PMHNP-BC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Nurse Practitioner. PMHNP-BC is board-certified in psychiatric-mental health — the likely credential for a Spravato practice.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how her name should appear in advertising. Ask her exactly how she wants it written.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Prescriptive Authority Agreement (PAA)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written agreement with a delegating physician that gives a Texas APRN authority to prescribe.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PAA, no prescribing. Ask whether hers covers Schedule III — Spravato depends on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Delegating physician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physician who delegates prescriptive authority to her under the PAA.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if he or she must be named or disclosed in advertising. Some arrangements require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 of practice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set of services she is legally permitted to perform.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we can advertise lives inside this boundary. Advertising outside it is the fastest way to hurt her.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Restricted practice state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state where NPs require physician involvement to practice or prescribe. Texas is one.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she is never fully independent. Ads implying a solo physician-equivalent practice are risky.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Board of Nursing (BON)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agency that licenses and disciplines nurses and APRNs in Texas.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body that would receive a complaint about her advertising. The audience for everything we write.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Corporate Practice of Medicine (CPOM)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Doctrine limiting non-physicians from owning or controlling medical practices. Texas enforces a strong version.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Shapes how her practice is structured. Know the phrase so you do not look blank if she says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MSO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Management Services Organization. A structure where a non-clinical entity provides admin services to a practice.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mentions one, her billing and contracting may run through it. Affects who signs our agreement.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2. Privacy and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PHI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Protected Health Information — health information tied to an identifiable person.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name plus “interested in depression treatment” is PHI. This is why our forms stay minimal.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health privacy law. Three main pieces: Privacy Rule, Security Rule, Breach Notification Rule.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baseline. Never say “HIPAA certified” — no such thing exists.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entity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clinician or organization directly subject to HIPAA. She is one.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carries the primary obligation. We inherit obligations only through a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Associate / BAA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vendor handling PHI for a covered entity, and the contract that governs it.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Our Section 12. We minimize PHI by design; if we touch it, we sign a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necessary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 principle: use and collect only the least information needed for the purpose.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best argument for keeping clinical questions off the marketing form.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HB 300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Medical Records Privacy Act. Defines covered entity more broadly than HIPAA and adds state penalties.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Texas-specific. Raising it unprompted will set you apart from every other agency she talks to.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TDPSA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Data Privacy and Security Act. Treats health data as sensitive data requiring consent.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Shapes the consent language on her forms and our tracking setup.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Tracking technologies / pixel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 like the Meta Pixel or Google Analytics that reports visitor behavior to a third party.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pixel on a page collecting health interest has drawn enforcement and litigation. Ask what is on her site today.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HIPAA authorization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Signed patient permission to use their information for a purpose like marketing or a testimonial.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Required before using patient stories, photos, or her patient list. She must actually have it, not assume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Notice of Privacy Practices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privacy notice a practice gives patients.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to see hers. It tells you what she has already promised patients.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Breach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Unauthorized acquisition or disclosure of PHI, triggering notification duties.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Timelines and responsibilities are spelled out in the BAA.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HHS Office for Civil Rights. Enforces HIPAA.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federal enforcement body. The reason “we will just be careful” is not a plan.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3. Controlled substances and REMS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 III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DEA controlled-substance category. Esketamine sits here.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her prescribing authority must expressly cover controlled substances.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 registration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registration required to prescribe or handle controlled substances.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needs one. A gap here stops the practice, not just the marketing.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Risk Evaluation and Mitigation Strategy — an FDA-required safety program restricting how a drug may be used.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core constraint on this account. It dictates in-office administration and monitoring. Confirm current requirements with her.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REMS-certified setting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healthcare setting enrolled and certified to administer the drug under the program.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clinic must be certified. Also means treatment cannot happen at home — never imply convenience or take-home in an ad.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Boxed warning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FDA’s most serious warning label. Spravato carries one covering sedation, dissociation, abuse and misuse, and suicidal thoughts.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we advertise the service and the practice, not the drug and its results.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PMP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Prescription Monitoring Program — the state database of controlled substance prescriptions.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her workflow. Know the term; it is not our concern operationally.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Diversion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Controlled substances being redirected to non-medical use.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why REMS exists. Explains why the rules feel heavy.</w:t>
            </w:r>
          </w:p>
        </w:tc>
      </w:tr>
    </w:tbl>
    <w:p>
      <w:pPr>
        <w:pStyle w:val="SectionHead"/>
      </w:pPr>
      <w:r>
        <w:t xml:space="preserve">4. Clinical terms she will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Esketamine / Spravato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Esketamine is the drug; Spravato is Janssen’s brand name. Nasal spray, given in-office.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Prefer the generic term in advertising. Brand plus efficacy claims drifts toward drug promotion.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Treatment-resistant depression (TRD)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Depression that has not responded adequately to prior antidepressant trials — commonly two or more.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Both the clinical criterion and the insurance gate. The center of the whole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MDD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 Depressive Disorder.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underlying diagnosis. TRD is a subset.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Induction phase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initial intensive treatment period — typically twice weekly.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reason logistics beat everything else as a lead qualifier.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Maintenance phase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Reduced frequency after induction, often weekly then every two weeks.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patient lifetime value actually accumulates. Worth asking about.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Dissociation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temporary altered sense of self or surroundings — an expected effect during dosing.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of why patients are monitored and cannot drive afterward.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Adjunctive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Given alongside another treatment, such as an oral antidepressant.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Spravato is often used this way. Affects who qualifies.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Off-label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Prescribing a drug for a use not FDA-approved. IV ketamine for depression is off-label.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offers IV ketamine too, claims there carry more risk than Spravato claims.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TMS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Transcranial Magnetic Stimulation. Another treatment-resistant depression option.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She may offer both. Different rules, different ad angle.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PHQ-9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nine-question depression severity questionnaire.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clinical intake tool. Never a marketing form field.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C-SSRS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Columbia Suicide Severity Rating Scale — a suicide risk screening tool.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Clinical territory. Know the term; never put it near our funnel.</w:t>
            </w:r>
          </w:p>
        </w:tc>
      </w:tr>
    </w:tbl>
    <w:p>
      <w:pPr>
        <w:pageBreakBefore/>
      </w:pPr>
    </w:p>
    <w:p>
      <w:pPr>
        <w:pStyle w:val="SectionHead"/>
      </w:pPr>
      <w:r>
        <w:t xml:space="preserve">5. Insurance and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Prior authorization (PA)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Insurer approval required before a treatment is covered.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bottleneck. A high denial rate means more leads will not fix her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Medical necessity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insurer’s standard for whether treatment is justified.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documented prior antidepressant trials are proving.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In-network / out-of-network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she has a contract with a given insurer.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Directly drives which leads are worth generating.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Credentialing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process of getting approved to bill an insurer.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If she is mid-credentialing with a major payer, that changes launch timing.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 and bill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practice purchases the drug, administers it, then bills the payer.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Means she is carrying inventory cost and cash-flow risk per patient.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HCPCS / CPT codes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codes for the drug and for the administration service. Esketamine administration has its own codes — confirm current ones with her.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 do not need to bill. You need to understand that a session has two billable parts.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Medicare Part B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Medicare coverage for services and drugs administered in a clinical setting.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Often relevant for in-office administration. Also brings federal kickback rules into play.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Denial / appeal / peer-to-peer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Insurer refusal, the challenge process, and a clinician-to-clinician review call.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Ask what her denial rate is. It is the most revealing number in her business.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Self-pay / cash-pay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Patient pays directly.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Rare for a full Spravato course given cost. Ask what she charges anyway.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Copay / coinsurance / deductible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patient’s share of cost.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patient with a $6,000 deductible in January may be qualified and still not start.</w:t>
            </w:r>
          </w:p>
        </w:tc>
      </w:tr>
    </w:tbl>
    <w:p>
      <w:pPr>
        <w:pStyle w:val="SectionHead"/>
      </w:pPr>
      <w:r>
        <w:t xml:space="preserve">6. Healthcare marketing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Anti-Kickback Statute (AKS)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law prohibiting payment for referrals involving federal healthcare programs.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flat-fee marketing is the conservative structure.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Occ. Code §102.001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Texas patient solicitation statute. Applies to all payors, not just federal programs.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Texas-specific reason to refuse per-lead pricing. Confirm details with counsel if pressed.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Fee-splitting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Sharing professional fees with a non-clinician, often restricted.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Another reason we never take a percentage of her revenue.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Safe harbor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defined arrangement that is protected from AKS liability.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 the phrase. Do not claim we fall inside one — that is a lawyer’s call.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Stark Law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physician self-referral law.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Less likely to apply directly to her, but she may mention it. Do not confuse it with AKS.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Beneficiary inducement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Offering something of value to attract Medicare or Medicaid patients.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“free consultation” offers need care when federal program patients are involved.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TCPA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Federal law governing calls and texts, including consent and opt-out.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 11 of our agreement. She is the sender of record.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FTC substantiation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 that advertising claims be truthful and supported by evidence.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outcome claims are off the table without support.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Testimonial / endorsement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patient statement used in advertising.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HIPAA authorization, and psychiatric testimonials carry extra sensitivity.</w:t>
            </w:r>
          </w:p>
        </w:tc>
      </w:tr>
    </w:tbl>
    <w:p>
      <w:pPr>
        <w:pStyle w:val="SectionHead"/>
      </w:pPr>
      <w:r>
        <w:t xml:space="preserve">7. Our vocabulary that she may ask you to explain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6"/>
        <w:gridCol w:w="3744"/>
        <w:gridCol w:w="3650"/>
      </w:tblGrid>
      <w:tr>
        <w:trPr>
          <w:tblHeader/>
        </w:trPr>
        <w:tc>
          <w:tcPr>
            <w:tcW w:type="dxa" w:w="1966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3744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650"/>
            <w:shd w:fill="F2F0EC" w:color="auto" w:val="clear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matters to you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Qualified lead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 inquiry that meets the criteria we agreed on — service, geography, insurance, availability.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Define this with her in writing at kickoff so “good lead” never becomes an argument.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lead / cost per appointment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 spend divided by leads, or by booked appointments.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appointment is the honest metric on this account. Lead a report with it.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rate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Percentage of booked appointments that actually attend.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lever, not ours — but it is where this business is won or lost.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 spend vs. management fee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media cost versus our $2,000 monthly fee.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separate things. Say it twice; clients conflate them constantly.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page an ad sends traffic to, built to convert.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place where privacy design actually happens.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Conversion tracking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Measuring which ads produce inquiries.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Must be configured so health-related detail is not sent to ad platforms.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Geo-targeting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Restricting ads to a geographic area.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this account, tight radius beats broad reach because of travel frequency.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Attribution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Determining which ad or channel produced a patient.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 expectations early: it is directional, never perfect.</w:t>
            </w:r>
          </w:p>
        </w:tc>
      </w:tr>
      <w:tr>
        <w:tc>
          <w:tcPr>
            <w:tcW w:type="dxa" w:w="1966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Intake</w:t>
            </w:r>
          </w:p>
        </w:tc>
        <w:tc>
          <w:tcPr>
            <w:tcW w:type="dxa" w:w="3744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Her clinical onboarding process after the appointment is booked.</w:t>
            </w:r>
          </w:p>
        </w:tc>
        <w:tc>
          <w:tcPr>
            <w:tcW w:type="dxa" w:w="3650"/>
            <w:tcMar>
              <w:top w:type="dxa" w:w="95"/>
              <w:left w:type="dxa" w:w="125"/>
              <w:bottom w:type="dxa" w:w="95"/>
              <w:right w:type="dxa" w:w="12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Where clinical questions belong — not in our funnel.</w:t>
            </w:r>
          </w:p>
        </w:tc>
      </w:tr>
    </w:tbl>
    <w:p>
      <w:pPr>
        <w:pStyle w:val="SectionHead"/>
      </w:pPr>
      <w:r>
        <w:t xml:space="preserve">Phrases to avoid saying</w:t>
      </w:r>
    </w:p>
    <w:p>
      <w:pPr>
        <w:spacing w:after="150"/>
      </w:pPr>
      <w:r>
        <w:rPr>
          <w:color w:val="5A5A5A"/>
          <w:sz w:val="19"/>
          <w:szCs w:val="19"/>
        </w:rPr>
        <w:t xml:space="preserve">Each of these either overstates what we do or contradicts the agreement.</w:t>
      </w:r>
    </w:p>
    <w:p>
      <w:pPr>
        <w:pStyle w:val="ListParagraph"/>
        <w:numPr>
          <w:ilvl w:val="0"/>
          <w:numId w:val="2"/>
        </w:numPr>
      </w:pPr>
      <w:r>
        <w:t xml:space="preserve">“We’re HIPAA certified.” — No such certification exists. Say HIPAA-aware, minimized by design, BAA available.</w:t>
      </w:r>
    </w:p>
    <w:p>
      <w:pPr>
        <w:pStyle w:val="ListParagraph"/>
        <w:numPr>
          <w:ilvl w:val="0"/>
          <w:numId w:val="2"/>
        </w:numPr>
      </w:pPr>
      <w:r>
        <w:t xml:space="preserve">“We guarantee X patients.” — Contradicts Section 15.</w:t>
      </w:r>
    </w:p>
    <w:p>
      <w:pPr>
        <w:pStyle w:val="ListParagraph"/>
        <w:numPr>
          <w:ilvl w:val="0"/>
          <w:numId w:val="2"/>
        </w:numPr>
      </w:pPr>
      <w:r>
        <w:t xml:space="preserve">“That’s compliant, you’re fine.” — Not your call to make. Section 16.</w:t>
      </w:r>
    </w:p>
    <w:p>
      <w:pPr>
        <w:pStyle w:val="ListParagraph"/>
        <w:numPr>
          <w:ilvl w:val="0"/>
          <w:numId w:val="2"/>
        </w:numPr>
      </w:pPr>
      <w:r>
        <w:t xml:space="preserve">“Meta will approve it.” — Platforms review independently. Section 14.</w:t>
      </w:r>
    </w:p>
    <w:p>
      <w:pPr>
        <w:pStyle w:val="ListParagraph"/>
        <w:numPr>
          <w:ilvl w:val="0"/>
          <w:numId w:val="2"/>
        </w:numPr>
      </w:pPr>
      <w:r>
        <w:t xml:space="preserve">“We’ll handle HIPAA for you.” — She is the covered entity. We reduce exposure; we do not assume her obligations.</w:t>
      </w:r>
    </w:p>
    <w:p>
      <w:pPr>
        <w:pStyle w:val="ListParagraph"/>
        <w:numPr>
          <w:ilvl w:val="0"/>
          <w:numId w:val="2"/>
        </w:numPr>
      </w:pPr>
      <w:r>
        <w:t xml:space="preserve">“Spravato works better than antidepressants.” — Efficacy claim about a drug. Not ours to make.</w:t>
      </w:r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color w:val="777777"/>
        <w:sz w:val="17"/>
        <w:szCs w:val="17"/>
      </w:rPr>
      <w:t xml:space="preserve">Meeting Reference Guide — Internal Reference  ·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7"/>
        <w:szCs w:val="17"/>
      </w:rPr>
      <w:t xml:space="preserve"> of </w:t>
    </w:r>
    <w:r>
      <w:rPr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1"/>
        <w:szCs w:val="21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60"/>
      <w:jc w:val="center"/>
    </w:pPr>
    <w:rPr>
      <w:b/>
      <w:bCs/>
      <w:color w:val="111111"/>
      <w:sz w:val="32"/>
      <w:szCs w:val="32"/>
    </w:rPr>
  </w:style>
  <w:style w:type="paragraph" w:styleId="DocSub">
    <w:name w:val="Doc Subtitle"/>
    <w:basedOn w:val="Normal"/>
    <w:pPr>
      <w:spacing w:after="320"/>
      <w:jc w:val="center"/>
    </w:pPr>
    <w:rPr>
      <w:i/>
      <w:iCs/>
      <w:color w:val="5A5A5A"/>
      <w:sz w:val="19"/>
      <w:szCs w:val="19"/>
    </w:rPr>
  </w:style>
  <w:style w:type="paragraph" w:styleId="SectionHead">
    <w:name w:val="Section Head"/>
    <w:basedOn w:val="Normal"/>
    <w:next w:val="Normal"/>
    <w:pPr>
      <w:keepNext/>
      <w:spacing w:after="110" w:before="280"/>
    </w:pPr>
    <w:rPr>
      <w:b/>
      <w:bCs/>
      <w:color w:val="111111"/>
      <w:sz w:val="22"/>
      <w:szCs w:val="22"/>
    </w:rPr>
  </w:style>
  <w:style w:type="paragraph" w:styleId="SubHead">
    <w:name w:val="Sub Head"/>
    <w:basedOn w:val="Normal"/>
    <w:next w:val="Normal"/>
    <w:pPr>
      <w:keepNext/>
      <w:spacing w:after="90" w:before="200"/>
    </w:pPr>
    <w:rPr>
      <w:b/>
      <w:bCs/>
      <w:color w:val="222222"/>
      <w:sz w:val="21"/>
      <w:szCs w:val="21"/>
    </w:rPr>
  </w:style>
  <w:style w:type="paragraph" w:styleId="Quiet">
    <w:name w:val="Quiet"/>
    <w:basedOn w:val="Normal"/>
    <w:pPr>
      <w:spacing w:after="140"/>
    </w:pPr>
    <w:rPr>
      <w:i/>
      <w:iCs/>
      <w:color w:val="5A5A5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2026-08-21T19:39:43.923Z</dcterms:created>
  <dcterms:modified xsi:type="dcterms:W3CDTF">2026-08-21T19:39:43.923Z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