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Title"/>
      </w:pPr>
      <w:r>
        <w:t xml:space="preserve">STATEMENT OF WORK NO. 1</w:t>
      </w:r>
    </w:p>
    <w:p>
      <w:pPr>
        <w:pStyle w:val="DocSub"/>
      </w:pPr>
      <w:r>
        <w:t xml:space="preserve">Patient Acquisition Campaign — Stay Booked Marketing LLC</w:t>
      </w:r>
    </w:p>
    <w:p>
      <w:r>
        <w:t xml:space="preserve">This Statement of Work No. 1 (this “SOW”) is entered into as of the date of the last signature below by and between Stay Booked Marketing LLC (“Stay Booked”) and the Client identified below, and is governed by and incorporated into the Marketing Services Agreement between the Parties (the “Agreement”). Capitalized terms not defined here have the meanings given in the Agreement.</w:t>
      </w:r>
    </w:p>
    <w:p>
      <w:r>
        <w:t xml:space="preserve">Client / Practice Name: ____________________________________________</w:t>
      </w:r>
    </w:p>
    <w:p>
      <w:r>
        <w:t xml:space="preserve">Primary Contact and Title: ____________________________________________</w:t>
      </w:r>
    </w:p>
    <w:p>
      <w:r>
        <w:t xml:space="preserve">Contact Email and Phone: ____________________________________________</w:t>
      </w:r>
    </w:p>
    <w:p>
      <w:r>
        <w:t xml:space="preserve">Target Launch Date: ____________________________________________</w:t>
      </w:r>
    </w:p>
    <w:p>
      <w:pPr>
        <w:pBdr>
          <w:bottom w:val="single" w:color="AAAAAA" w:sz="6"/>
        </w:pBdr>
        <w:spacing w:after="220" w:before="100"/>
      </w:pPr>
    </w:p>
    <w:p>
      <w:pPr>
        <w:pStyle w:val="SectionHead"/>
      </w:pPr>
      <w:r>
        <w:t xml:space="preserve">1. Objective</w:t>
      </w:r>
    </w:p>
    <w:p>
      <w:r>
        <w:t xml:space="preserve">Build and operate a patient acquisition system that puts Client’s practice in front of local patients actively looking for the services Client provides, contacts and screens every inquiry automatically the moment it arrives, and delivers qualified, interested patients to Client — booked onto Client’s calendar wherever Client’s scheduling system allows.</w:t>
      </w:r>
    </w:p>
    <w:p>
      <w:pPr>
        <w:pStyle w:val="SectionHead"/>
      </w:pPr>
      <w:r>
        <w:t xml:space="preserve">2. Scope of Services</w:t>
      </w:r>
    </w:p>
    <w:p>
      <w:pPr>
        <w:pStyle w:val="SubHead"/>
      </w:pPr>
      <w:r>
        <w:t xml:space="preserve">2.1 Campaign Strategy and Build</w:t>
      </w:r>
    </w:p>
    <w:p>
      <w:pPr>
        <w:pStyle w:val="ListParagraph"/>
        <w:numPr>
          <w:ilvl w:val="0"/>
          <w:numId w:val="2"/>
        </w:numPr>
      </w:pPr>
      <w:r>
        <w:t xml:space="preserve">Discovery and account audit, including services to promote, service area, capacity, and what a new patient is worth to Client;</w:t>
      </w:r>
    </w:p>
    <w:p>
      <w:pPr>
        <w:pStyle w:val="ListParagraph"/>
        <w:numPr>
          <w:ilvl w:val="0"/>
          <w:numId w:val="2"/>
        </w:numPr>
      </w:pPr>
      <w:r>
        <w:t xml:space="preserve">Offer and messaging development, reviewed against the advertising rules and disclosure requirements that apply to Client’s license type and state;</w:t>
      </w:r>
    </w:p>
    <w:p>
      <w:pPr>
        <w:pStyle w:val="ListParagraph"/>
        <w:numPr>
          <w:ilvl w:val="0"/>
          <w:numId w:val="2"/>
        </w:numPr>
      </w:pPr>
      <w:r>
        <w:t xml:space="preserve">Advertising account setup or configuration on the agreed Platforms (typically Meta and/or Google), including audiences, geo-targeting, and conversion tracking;</w:t>
      </w:r>
    </w:p>
    <w:p>
      <w:pPr>
        <w:pStyle w:val="ListParagraph"/>
        <w:numPr>
          <w:ilvl w:val="0"/>
          <w:numId w:val="2"/>
        </w:numPr>
      </w:pPr>
      <w:r>
        <w:t xml:space="preserve">Ad creative production: copy plus static or video assets assembled from Client-provided material and licensed stock;</w:t>
      </w:r>
    </w:p>
    <w:p>
      <w:pPr>
        <w:pStyle w:val="ListParagraph"/>
        <w:numPr>
          <w:ilvl w:val="0"/>
          <w:numId w:val="2"/>
        </w:numPr>
      </w:pPr>
      <w:r>
        <w:t xml:space="preserve">Conversion-focused landing page and lead form, hosted and maintained by Stay Booked for the term of this SOW, with the consent and disclosure language Client approves.</w:t>
      </w:r>
    </w:p>
    <w:p>
      <w:pPr>
        <w:pStyle w:val="SubHead"/>
      </w:pPr>
      <w:r>
        <w:t xml:space="preserve">2.2 Lead Response and Qualification</w:t>
      </w:r>
    </w:p>
    <w:p>
      <w:pPr>
        <w:pStyle w:val="ListParagraph"/>
        <w:numPr>
          <w:ilvl w:val="0"/>
          <w:numId w:val="2"/>
        </w:numPr>
      </w:pPr>
      <w:r>
        <w:t xml:space="preserve">Automated first contact by text and email within moments of an inquiry, sent in Client’s name under the agency authorization in Section 11 of the Agreement;</w:t>
      </w:r>
    </w:p>
    <w:p>
      <w:pPr>
        <w:pStyle w:val="ListParagraph"/>
        <w:numPr>
          <w:ilvl w:val="0"/>
          <w:numId w:val="2"/>
        </w:numPr>
      </w:pPr>
      <w:r>
        <w:t xml:space="preserve">Screening sequence using Client-approved qualifying questions to separate ready-to-book patients from unqualified or out-of-area inquiries;</w:t>
      </w:r>
    </w:p>
    <w:p>
      <w:pPr>
        <w:pStyle w:val="ListParagraph"/>
        <w:numPr>
          <w:ilvl w:val="0"/>
          <w:numId w:val="2"/>
        </w:numPr>
      </w:pPr>
      <w:r>
        <w:t xml:space="preserve">Persistent, compliant follow-up cadence for non-responders across an agreed window, with opt-out handling and suppression built in;</w:t>
      </w:r>
    </w:p>
    <w:p>
      <w:pPr>
        <w:pStyle w:val="ListParagraph"/>
        <w:numPr>
          <w:ilvl w:val="0"/>
          <w:numId w:val="2"/>
        </w:numPr>
      </w:pPr>
      <w:r>
        <w:t xml:space="preserve">Appointment setting onto Client’s calendar where Client’s scheduling system supports it, or handoff of qualified patients to Client’s preferred intake channel where it does not.</w:t>
      </w:r>
    </w:p>
    <w:p>
      <w:pPr>
        <w:pStyle w:val="SubHead"/>
      </w:pPr>
      <w:r>
        <w:t xml:space="preserve">2.3 Management, Reporting, and Optimization</w:t>
      </w:r>
    </w:p>
    <w:p>
      <w:pPr>
        <w:pStyle w:val="ListParagraph"/>
        <w:numPr>
          <w:ilvl w:val="0"/>
          <w:numId w:val="2"/>
        </w:numPr>
      </w:pPr>
      <w:r>
        <w:t xml:space="preserve">Ongoing campaign management: budget pacing within Client’s approved limit, audience and placement adjustments, and creative testing;</w:t>
      </w:r>
    </w:p>
    <w:p>
      <w:pPr>
        <w:pStyle w:val="ListParagraph"/>
        <w:numPr>
          <w:ilvl w:val="0"/>
          <w:numId w:val="2"/>
        </w:numPr>
      </w:pPr>
      <w:r>
        <w:t xml:space="preserve">Monthly performance report covering ad spend, leads, qualified leads, appointments set, cost per lead, and cost per appointment, with plain-language commentary on what is working and what is changing;</w:t>
      </w:r>
    </w:p>
    <w:p>
      <w:pPr>
        <w:pStyle w:val="ListParagraph"/>
        <w:numPr>
          <w:ilvl w:val="0"/>
          <w:numId w:val="2"/>
        </w:numPr>
      </w:pPr>
      <w:r>
        <w:t xml:space="preserve">A monthly review call with Client to walk through results and set priorities for the following month;</w:t>
      </w:r>
    </w:p>
    <w:p>
      <w:pPr>
        <w:pStyle w:val="ListParagraph"/>
        <w:numPr>
          <w:ilvl w:val="0"/>
          <w:numId w:val="2"/>
        </w:numPr>
      </w:pPr>
      <w:r>
        <w:t xml:space="preserve">Compliance review of new copy and landing pages before publication, as described in Section 16 of the Agreement.</w:t>
      </w:r>
    </w:p>
    <w:p>
      <w:pPr>
        <w:pStyle w:val="SectionHead"/>
      </w:pPr>
      <w:r>
        <w:t xml:space="preserve">3. Out of Scope</w:t>
      </w:r>
    </w:p>
    <w:p>
      <w:r>
        <w:t xml:space="preserve">Anything not listed in Section 2 is out of scope, including: providing or supervising clinical or professional services; conducting consultations or closing patients; staffing Client’s phone lines or inbox; manual human calling beyond the automated sequences described above; billing, insurance, or EHR work; reputation and review management; search engine optimization; organic social media management; full website builds beyond the campaign landing page; and printed or offline media. Out-of-scope work requires a written amendment or a new SOW under Section 5 of the Agreement.</w:t>
      </w:r>
    </w:p>
    <w:p>
      <w:pPr>
        <w:pStyle w:val="SectionHead"/>
      </w:pPr>
      <w:r>
        <w:t xml:space="preserve">4. Client Responsibilities</w:t>
      </w:r>
    </w:p>
    <w:p>
      <w:r>
        <w:t xml:space="preserve">Client will, at its own cost and in addition to its obligations under Section 10 of the Agreement:</w:t>
      </w:r>
    </w:p>
    <w:p>
      <w:pPr>
        <w:pStyle w:val="ListParagraph"/>
        <w:numPr>
          <w:ilvl w:val="0"/>
          <w:numId w:val="2"/>
        </w:numPr>
      </w:pPr>
      <w:r>
        <w:t xml:space="preserve">Deliver the onboarding items in Exhibit B of the Agreement before the build begins;</w:t>
      </w:r>
    </w:p>
    <w:p>
      <w:pPr>
        <w:pStyle w:val="ListParagraph"/>
        <w:numPr>
          <w:ilvl w:val="0"/>
          <w:numId w:val="2"/>
        </w:numPr>
      </w:pPr>
      <w:r>
        <w:t xml:space="preserve">Review campaign creative, landing pages, and message templates within three (3) business days, as items not reviewed in that window are deemed approved;</w:t>
      </w:r>
    </w:p>
    <w:p>
      <w:pPr>
        <w:pStyle w:val="ListParagraph"/>
        <w:numPr>
          <w:ilvl w:val="0"/>
          <w:numId w:val="2"/>
        </w:numPr>
      </w:pPr>
      <w:r>
        <w:t xml:space="preserve">Respond to qualified patients and honor booked appointments promptly, and keep enough calendar availability open for the volume Client has asked Stay Booked to generate;</w:t>
      </w:r>
    </w:p>
    <w:p>
      <w:pPr>
        <w:pStyle w:val="ListParagraph"/>
        <w:numPr>
          <w:ilvl w:val="0"/>
          <w:numId w:val="2"/>
        </w:numPr>
      </w:pPr>
      <w:r>
        <w:t xml:space="preserve">Notify Stay Booked promptly of capacity limits, closures, provider changes, service or pricing changes, and any patient complaint that concerns advertising;</w:t>
      </w:r>
    </w:p>
    <w:p>
      <w:pPr>
        <w:pStyle w:val="ListParagraph"/>
        <w:numPr>
          <w:ilvl w:val="0"/>
          <w:numId w:val="2"/>
        </w:numPr>
      </w:pPr>
      <w:r>
        <w:t xml:space="preserve">Fund Ad Spend directly with the Platforms and keep a valid payment method on file with each;</w:t>
      </w:r>
    </w:p>
    <w:p>
      <w:pPr>
        <w:pStyle w:val="ListParagraph"/>
        <w:numPr>
          <w:ilvl w:val="0"/>
          <w:numId w:val="2"/>
        </w:numPr>
      </w:pPr>
      <w:r>
        <w:t xml:space="preserve">Maintain its own licensure, insurance, privacy policy, and intake and consent practices.</w:t>
      </w:r>
    </w:p>
    <w:p>
      <w:pPr>
        <w:pStyle w:val="SectionHead"/>
      </w:pPr>
      <w:r>
        <w:t xml:space="preserve">5. Fees and Ad Spend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tblHeader/>
        </w:trPr>
        <w:tc>
          <w:tcPr>
            <w:tcW w:type="dxa" w:w="3182"/>
            <w:shd w:fill="F2F0EC" w:color="auto" w:val="clear"/>
            <w:tcMar>
              <w:top w:type="dxa" w:w="110"/>
              <w:left w:type="dxa" w:w="140"/>
              <w:bottom w:type="dxa" w:w="110"/>
              <w:right w:type="dxa" w:w="140"/>
            </w:tcMar>
          </w:tcPr>
          <w:p>
            <w:pPr>
              <w:spacing w:after="0"/>
            </w:pPr>
            <w:r>
              <w:rPr>
                <w:b/>
                <w:bCs/>
                <w:sz w:val="20"/>
                <w:szCs w:val="20"/>
              </w:rPr>
              <w:t xml:space="preserve">Item</w:t>
            </w:r>
          </w:p>
        </w:tc>
        <w:tc>
          <w:tcPr>
            <w:tcW w:type="dxa" w:w="6178"/>
            <w:shd w:fill="F2F0EC" w:color="auto" w:val="clear"/>
            <w:tcMar>
              <w:top w:type="dxa" w:w="110"/>
              <w:left w:type="dxa" w:w="140"/>
              <w:bottom w:type="dxa" w:w="110"/>
              <w:right w:type="dxa" w:w="140"/>
            </w:tcMar>
          </w:tcPr>
          <w:p>
            <w:pPr>
              <w:spacing w:after="0"/>
            </w:pPr>
            <w:r>
              <w:rPr>
                <w:b/>
                <w:bCs/>
                <w:sz w:val="20"/>
                <w:szCs w:val="20"/>
              </w:rPr>
              <w:t xml:space="preserve">Amount and terms</w:t>
            </w:r>
          </w:p>
        </w:tc>
      </w:tr>
      <w:tr>
        <w:tc>
          <w:tcPr>
            <w:tcW w:type="dxa" w:w="3182"/>
            <w:tcMar>
              <w:top w:type="dxa" w:w="110"/>
              <w:left w:type="dxa" w:w="140"/>
              <w:bottom w:type="dxa" w:w="110"/>
              <w:right w:type="dxa" w:w="140"/>
            </w:tcMar>
          </w:tcPr>
          <w:p>
            <w:pPr>
              <w:spacing w:after="0"/>
            </w:pPr>
            <w:r>
              <w:rPr>
                <w:b w:val="false"/>
                <w:bCs w:val="false"/>
                <w:sz w:val="20"/>
                <w:szCs w:val="20"/>
              </w:rPr>
              <w:t xml:space="preserve">Service fee</w:t>
            </w:r>
          </w:p>
        </w:tc>
        <w:tc>
          <w:tcPr>
            <w:tcW w:type="dxa" w:w="6178"/>
            <w:tcMar>
              <w:top w:type="dxa" w:w="110"/>
              <w:left w:type="dxa" w:w="140"/>
              <w:bottom w:type="dxa" w:w="110"/>
              <w:right w:type="dxa" w:w="140"/>
            </w:tcMar>
          </w:tcPr>
          <w:p>
            <w:pPr>
              <w:spacing w:after="0"/>
            </w:pPr>
            <w:r>
              <w:rPr>
                <w:b w:val="false"/>
                <w:bCs w:val="false"/>
                <w:sz w:val="20"/>
                <w:szCs w:val="20"/>
              </w:rPr>
              <w:t xml:space="preserve">$2,000 per month, billed monthly in advance. No setup or startup fee.</w:t>
            </w:r>
          </w:p>
        </w:tc>
      </w:tr>
      <w:tr>
        <w:tc>
          <w:tcPr>
            <w:tcW w:type="dxa" w:w="3182"/>
            <w:tcMar>
              <w:top w:type="dxa" w:w="110"/>
              <w:left w:type="dxa" w:w="140"/>
              <w:bottom w:type="dxa" w:w="110"/>
              <w:right w:type="dxa" w:w="140"/>
            </w:tcMar>
          </w:tcPr>
          <w:p>
            <w:pPr>
              <w:spacing w:after="0"/>
            </w:pPr>
            <w:r>
              <w:rPr>
                <w:b w:val="false"/>
                <w:bCs w:val="false"/>
                <w:sz w:val="20"/>
                <w:szCs w:val="20"/>
              </w:rPr>
              <w:t xml:space="preserve">Ad Spend</w:t>
            </w:r>
          </w:p>
        </w:tc>
        <w:tc>
          <w:tcPr>
            <w:tcW w:type="dxa" w:w="6178"/>
            <w:tcMar>
              <w:top w:type="dxa" w:w="110"/>
              <w:left w:type="dxa" w:w="140"/>
              <w:bottom w:type="dxa" w:w="110"/>
              <w:right w:type="dxa" w:w="140"/>
            </w:tcMar>
          </w:tcPr>
          <w:p>
            <w:pPr>
              <w:spacing w:after="0"/>
            </w:pPr>
            <w:r>
              <w:rPr>
                <w:b w:val="false"/>
                <w:bCs w:val="false"/>
                <w:sz w:val="20"/>
                <w:szCs w:val="20"/>
              </w:rPr>
              <w:t xml:space="preserve">Paid by Client directly to the advertising platforms. Separate from and in addition to the service fee.</w:t>
            </w:r>
          </w:p>
        </w:tc>
      </w:tr>
      <w:tr>
        <w:tc>
          <w:tcPr>
            <w:tcW w:type="dxa" w:w="3182"/>
            <w:tcMar>
              <w:top w:type="dxa" w:w="110"/>
              <w:left w:type="dxa" w:w="140"/>
              <w:bottom w:type="dxa" w:w="110"/>
              <w:right w:type="dxa" w:w="140"/>
            </w:tcMar>
          </w:tcPr>
          <w:p>
            <w:pPr>
              <w:spacing w:after="0"/>
            </w:pPr>
            <w:r>
              <w:rPr>
                <w:b w:val="false"/>
                <w:bCs w:val="false"/>
                <w:sz w:val="20"/>
                <w:szCs w:val="20"/>
              </w:rPr>
              <w:t xml:space="preserve">Approved starting monthly Ad Spend budget</w:t>
            </w:r>
          </w:p>
        </w:tc>
        <w:tc>
          <w:tcPr>
            <w:tcW w:type="dxa" w:w="6178"/>
            <w:tcMar>
              <w:top w:type="dxa" w:w="110"/>
              <w:left w:type="dxa" w:w="140"/>
              <w:bottom w:type="dxa" w:w="110"/>
              <w:right w:type="dxa" w:w="140"/>
            </w:tcMar>
          </w:tcPr>
          <w:p>
            <w:pPr>
              <w:spacing w:after="0"/>
            </w:pPr>
            <w:r>
              <w:rPr>
                <w:b w:val="false"/>
                <w:bCs w:val="false"/>
                <w:sz w:val="20"/>
                <w:szCs w:val="20"/>
              </w:rPr>
              <w:t xml:space="preserve">$______________ per month. Client may change this in writing at any time.</w:t>
            </w:r>
          </w:p>
        </w:tc>
      </w:tr>
      <w:tr>
        <w:tc>
          <w:tcPr>
            <w:tcW w:type="dxa" w:w="3182"/>
            <w:tcMar>
              <w:top w:type="dxa" w:w="110"/>
              <w:left w:type="dxa" w:w="140"/>
              <w:bottom w:type="dxa" w:w="110"/>
              <w:right w:type="dxa" w:w="140"/>
            </w:tcMar>
          </w:tcPr>
          <w:p>
            <w:pPr>
              <w:spacing w:after="0"/>
            </w:pPr>
            <w:r>
              <w:rPr>
                <w:b w:val="false"/>
                <w:bCs w:val="false"/>
                <w:sz w:val="20"/>
                <w:szCs w:val="20"/>
              </w:rPr>
              <w:t xml:space="preserve">First payment</w:t>
            </w:r>
          </w:p>
        </w:tc>
        <w:tc>
          <w:tcPr>
            <w:tcW w:type="dxa" w:w="6178"/>
            <w:tcMar>
              <w:top w:type="dxa" w:w="110"/>
              <w:left w:type="dxa" w:w="140"/>
              <w:bottom w:type="dxa" w:w="110"/>
              <w:right w:type="dxa" w:w="140"/>
            </w:tcMar>
          </w:tcPr>
          <w:p>
            <w:pPr>
              <w:spacing w:after="0"/>
            </w:pPr>
            <w:r>
              <w:rPr>
                <w:b w:val="false"/>
                <w:bCs w:val="false"/>
                <w:sz w:val="20"/>
                <w:szCs w:val="20"/>
              </w:rPr>
              <w:t xml:space="preserve">Due on execution of this SOW. Campaign build begins on receipt of payment and the Exhibit B onboarding items.</w:t>
            </w:r>
          </w:p>
        </w:tc>
      </w:tr>
      <w:tr>
        <w:tc>
          <w:tcPr>
            <w:tcW w:type="dxa" w:w="3182"/>
            <w:tcMar>
              <w:top w:type="dxa" w:w="110"/>
              <w:left w:type="dxa" w:w="140"/>
              <w:bottom w:type="dxa" w:w="110"/>
              <w:right w:type="dxa" w:w="140"/>
            </w:tcMar>
          </w:tcPr>
          <w:p>
            <w:pPr>
              <w:spacing w:after="0"/>
            </w:pPr>
            <w:r>
              <w:rPr>
                <w:b w:val="false"/>
                <w:bCs w:val="false"/>
                <w:sz w:val="20"/>
                <w:szCs w:val="20"/>
              </w:rPr>
              <w:t xml:space="preserve">Recurring payment date</w:t>
            </w:r>
          </w:p>
        </w:tc>
        <w:tc>
          <w:tcPr>
            <w:tcW w:type="dxa" w:w="6178"/>
            <w:tcMar>
              <w:top w:type="dxa" w:w="110"/>
              <w:left w:type="dxa" w:w="140"/>
              <w:bottom w:type="dxa" w:w="110"/>
              <w:right w:type="dxa" w:w="140"/>
            </w:tcMar>
          </w:tcPr>
          <w:p>
            <w:pPr>
              <w:spacing w:after="0"/>
            </w:pPr>
            <w:r>
              <w:rPr>
                <w:b w:val="false"/>
                <w:bCs w:val="false"/>
                <w:sz w:val="20"/>
                <w:szCs w:val="20"/>
              </w:rPr>
              <w:t xml:space="preserve">The same day of each following month, charged to the payment method on file.</w:t>
            </w:r>
          </w:p>
        </w:tc>
      </w:tr>
    </w:tbl>
    <w:p>
      <w:pPr>
        <w:pStyle w:val="Quiet"/>
      </w:pPr>
      <w:r>
        <w:t xml:space="preserve">The service fee is non-refundable once the service month has begun. Ad Spend is paid to the platforms and is never refundable by Stay Booked.</w:t>
      </w:r>
    </w:p>
    <w:p>
      <w:pPr>
        <w:pStyle w:val="SectionHead"/>
      </w:pPr>
      <w:r>
        <w:t xml:space="preserve">6.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4212"/>
      </w:tblGrid>
      <w:tr>
        <w:trPr>
          <w:tblHeader/>
        </w:trPr>
        <w:tc>
          <w:tcPr>
            <w:tcW w:type="dxa" w:w="5148"/>
            <w:shd w:fill="F2F0EC" w:color="auto" w:val="clear"/>
            <w:tcMar>
              <w:top w:type="dxa" w:w="110"/>
              <w:left w:type="dxa" w:w="140"/>
              <w:bottom w:type="dxa" w:w="110"/>
              <w:right w:type="dxa" w:w="140"/>
            </w:tcMar>
          </w:tcPr>
          <w:p>
            <w:pPr>
              <w:spacing w:after="0"/>
            </w:pPr>
            <w:r>
              <w:rPr>
                <w:b/>
                <w:bCs/>
                <w:sz w:val="20"/>
                <w:szCs w:val="20"/>
              </w:rPr>
              <w:t xml:space="preserve">Milestone</w:t>
            </w:r>
          </w:p>
        </w:tc>
        <w:tc>
          <w:tcPr>
            <w:tcW w:type="dxa" w:w="4212"/>
            <w:shd w:fill="F2F0EC" w:color="auto" w:val="clear"/>
            <w:tcMar>
              <w:top w:type="dxa" w:w="110"/>
              <w:left w:type="dxa" w:w="140"/>
              <w:bottom w:type="dxa" w:w="110"/>
              <w:right w:type="dxa" w:w="140"/>
            </w:tcMar>
          </w:tcPr>
          <w:p>
            <w:pPr>
              <w:spacing w:after="0"/>
            </w:pPr>
            <w:r>
              <w:rPr>
                <w:b/>
                <w:bCs/>
                <w:sz w:val="20"/>
                <w:szCs w:val="20"/>
              </w:rPr>
              <w:t xml:space="preserve">Target</w:t>
            </w:r>
          </w:p>
        </w:tc>
      </w:tr>
      <w:tr>
        <w:tc>
          <w:tcPr>
            <w:tcW w:type="dxa" w:w="5148"/>
            <w:tcMar>
              <w:top w:type="dxa" w:w="110"/>
              <w:left w:type="dxa" w:w="140"/>
              <w:bottom w:type="dxa" w:w="110"/>
              <w:right w:type="dxa" w:w="140"/>
            </w:tcMar>
          </w:tcPr>
          <w:p>
            <w:pPr>
              <w:spacing w:after="0"/>
            </w:pPr>
            <w:r>
              <w:rPr>
                <w:b w:val="false"/>
                <w:bCs w:val="false"/>
                <w:sz w:val="20"/>
                <w:szCs w:val="20"/>
              </w:rPr>
              <w:t xml:space="preserve">Kickoff call and onboarding items received</w:t>
            </w:r>
          </w:p>
        </w:tc>
        <w:tc>
          <w:tcPr>
            <w:tcW w:type="dxa" w:w="4212"/>
            <w:tcMar>
              <w:top w:type="dxa" w:w="110"/>
              <w:left w:type="dxa" w:w="140"/>
              <w:bottom w:type="dxa" w:w="110"/>
              <w:right w:type="dxa" w:w="140"/>
            </w:tcMar>
          </w:tcPr>
          <w:p>
            <w:pPr>
              <w:spacing w:after="0"/>
            </w:pPr>
            <w:r>
              <w:rPr>
                <w:b w:val="false"/>
                <w:bCs w:val="false"/>
                <w:sz w:val="20"/>
                <w:szCs w:val="20"/>
              </w:rPr>
              <w:t xml:space="preserve">Day 0</w:t>
            </w:r>
          </w:p>
        </w:tc>
      </w:tr>
      <w:tr>
        <w:tc>
          <w:tcPr>
            <w:tcW w:type="dxa" w:w="5148"/>
            <w:tcMar>
              <w:top w:type="dxa" w:w="110"/>
              <w:left w:type="dxa" w:w="140"/>
              <w:bottom w:type="dxa" w:w="110"/>
              <w:right w:type="dxa" w:w="140"/>
            </w:tcMar>
          </w:tcPr>
          <w:p>
            <w:pPr>
              <w:spacing w:after="0"/>
            </w:pPr>
            <w:r>
              <w:rPr>
                <w:b w:val="false"/>
                <w:bCs w:val="false"/>
                <w:sz w:val="20"/>
                <w:szCs w:val="20"/>
              </w:rPr>
              <w:t xml:space="preserve">Strategy, offer, and messaging drafted for review</w:t>
            </w:r>
          </w:p>
        </w:tc>
        <w:tc>
          <w:tcPr>
            <w:tcW w:type="dxa" w:w="4212"/>
            <w:tcMar>
              <w:top w:type="dxa" w:w="110"/>
              <w:left w:type="dxa" w:w="140"/>
              <w:bottom w:type="dxa" w:w="110"/>
              <w:right w:type="dxa" w:w="140"/>
            </w:tcMar>
          </w:tcPr>
          <w:p>
            <w:pPr>
              <w:spacing w:after="0"/>
            </w:pPr>
            <w:r>
              <w:rPr>
                <w:b w:val="false"/>
                <w:bCs w:val="false"/>
                <w:sz w:val="20"/>
                <w:szCs w:val="20"/>
              </w:rPr>
              <w:t xml:space="preserve">Within 3 business days of Day 0</w:t>
            </w:r>
          </w:p>
        </w:tc>
      </w:tr>
      <w:tr>
        <w:tc>
          <w:tcPr>
            <w:tcW w:type="dxa" w:w="5148"/>
            <w:tcMar>
              <w:top w:type="dxa" w:w="110"/>
              <w:left w:type="dxa" w:w="140"/>
              <w:bottom w:type="dxa" w:w="110"/>
              <w:right w:type="dxa" w:w="140"/>
            </w:tcMar>
          </w:tcPr>
          <w:p>
            <w:pPr>
              <w:spacing w:after="0"/>
            </w:pPr>
            <w:r>
              <w:rPr>
                <w:b w:val="false"/>
                <w:bCs w:val="false"/>
                <w:sz w:val="20"/>
                <w:szCs w:val="20"/>
              </w:rPr>
              <w:t xml:space="preserve">Creative, landing page, and message sequences submitted for approval</w:t>
            </w:r>
          </w:p>
        </w:tc>
        <w:tc>
          <w:tcPr>
            <w:tcW w:type="dxa" w:w="4212"/>
            <w:tcMar>
              <w:top w:type="dxa" w:w="110"/>
              <w:left w:type="dxa" w:w="140"/>
              <w:bottom w:type="dxa" w:w="110"/>
              <w:right w:type="dxa" w:w="140"/>
            </w:tcMar>
          </w:tcPr>
          <w:p>
            <w:pPr>
              <w:spacing w:after="0"/>
            </w:pPr>
            <w:r>
              <w:rPr>
                <w:b w:val="false"/>
                <w:bCs w:val="false"/>
                <w:sz w:val="20"/>
                <w:szCs w:val="20"/>
              </w:rPr>
              <w:t xml:space="preserve">Within 7 business days of Day 0</w:t>
            </w:r>
          </w:p>
        </w:tc>
      </w:tr>
      <w:tr>
        <w:tc>
          <w:tcPr>
            <w:tcW w:type="dxa" w:w="5148"/>
            <w:tcMar>
              <w:top w:type="dxa" w:w="110"/>
              <w:left w:type="dxa" w:w="140"/>
              <w:bottom w:type="dxa" w:w="110"/>
              <w:right w:type="dxa" w:w="140"/>
            </w:tcMar>
          </w:tcPr>
          <w:p>
            <w:pPr>
              <w:spacing w:after="0"/>
            </w:pPr>
            <w:r>
              <w:rPr>
                <w:b w:val="false"/>
                <w:bCs w:val="false"/>
                <w:sz w:val="20"/>
                <w:szCs w:val="20"/>
              </w:rPr>
              <w:t xml:space="preserve">Campaign launch</w:t>
            </w:r>
          </w:p>
        </w:tc>
        <w:tc>
          <w:tcPr>
            <w:tcW w:type="dxa" w:w="4212"/>
            <w:tcMar>
              <w:top w:type="dxa" w:w="110"/>
              <w:left w:type="dxa" w:w="140"/>
              <w:bottom w:type="dxa" w:w="110"/>
              <w:right w:type="dxa" w:w="140"/>
            </w:tcMar>
          </w:tcPr>
          <w:p>
            <w:pPr>
              <w:spacing w:after="0"/>
            </w:pPr>
            <w:r>
              <w:rPr>
                <w:b w:val="false"/>
                <w:bCs w:val="false"/>
                <w:sz w:val="20"/>
                <w:szCs w:val="20"/>
              </w:rPr>
              <w:t xml:space="preserve">Within 3 business days of final approval and account access</w:t>
            </w:r>
          </w:p>
        </w:tc>
      </w:tr>
      <w:tr>
        <w:tc>
          <w:tcPr>
            <w:tcW w:type="dxa" w:w="5148"/>
            <w:tcMar>
              <w:top w:type="dxa" w:w="110"/>
              <w:left w:type="dxa" w:w="140"/>
              <w:bottom w:type="dxa" w:w="110"/>
              <w:right w:type="dxa" w:w="140"/>
            </w:tcMar>
          </w:tcPr>
          <w:p>
            <w:pPr>
              <w:spacing w:after="0"/>
            </w:pPr>
            <w:r>
              <w:rPr>
                <w:b w:val="false"/>
                <w:bCs w:val="false"/>
                <w:sz w:val="20"/>
                <w:szCs w:val="20"/>
              </w:rPr>
              <w:t xml:space="preserve">First performance report and review call</w:t>
            </w:r>
          </w:p>
        </w:tc>
        <w:tc>
          <w:tcPr>
            <w:tcW w:type="dxa" w:w="4212"/>
            <w:tcMar>
              <w:top w:type="dxa" w:w="110"/>
              <w:left w:type="dxa" w:w="140"/>
              <w:bottom w:type="dxa" w:w="110"/>
              <w:right w:type="dxa" w:w="140"/>
            </w:tcMar>
          </w:tcPr>
          <w:p>
            <w:pPr>
              <w:spacing w:after="0"/>
            </w:pPr>
            <w:r>
              <w:rPr>
                <w:b w:val="false"/>
                <w:bCs w:val="false"/>
                <w:sz w:val="20"/>
                <w:szCs w:val="20"/>
              </w:rPr>
              <w:t xml:space="preserve">Approximately 30 days after launch, then monthly</w:t>
            </w:r>
          </w:p>
        </w:tc>
      </w:tr>
    </w:tbl>
    <w:p>
      <w:pPr>
        <w:pStyle w:val="Quiet"/>
      </w:pPr>
      <w:r>
        <w:t xml:space="preserve">Targets assume timely access, approvals, and platform review. Delays in access or approval extend each milestone day for day, and platform review times are outside Stay Booked’s control.</w:t>
      </w:r>
    </w:p>
    <w:p>
      <w:pPr>
        <w:pStyle w:val="SectionHead"/>
      </w:pPr>
      <w:r>
        <w:t xml:space="preserve">7. Term</w:t>
      </w:r>
    </w:p>
    <w:p>
      <w:r>
        <w:t xml:space="preserve">This SOW begins on the date of last signature and runs for an initial term of three (3) months, then renews automatically month to month. Either Party may give notice of non-renewal or terminate for convenience on thirty (30) days’ written notice as provided in Section 8 of the Agreement. The initial three-month term reflects the time typically required for campaign learning, creative testing, and a meaningful read on performance.</w:t>
      </w:r>
    </w:p>
    <w:p>
      <w:pPr>
        <w:pStyle w:val="SectionHead"/>
      </w:pPr>
      <w:r>
        <w:t xml:space="preserve">8. Assumptions and Conditions</w:t>
      </w:r>
    </w:p>
    <w:p>
      <w:pPr>
        <w:pStyle w:val="ListParagraph"/>
        <w:numPr>
          <w:ilvl w:val="0"/>
          <w:numId w:val="2"/>
        </w:numPr>
      </w:pPr>
      <w:r>
        <w:t xml:space="preserve">Client is properly licensed to provide the advertised services throughout the advertised service area;</w:t>
      </w:r>
    </w:p>
    <w:p>
      <w:pPr>
        <w:pStyle w:val="ListParagraph"/>
        <w:numPr>
          <w:ilvl w:val="0"/>
          <w:numId w:val="2"/>
        </w:numPr>
      </w:pPr>
      <w:r>
        <w:t xml:space="preserve">Client’s calendar has capacity for new patients and appointments can be booked at least several days out;</w:t>
      </w:r>
    </w:p>
    <w:p>
      <w:pPr>
        <w:pStyle w:val="ListParagraph"/>
        <w:numPr>
          <w:ilvl w:val="0"/>
          <w:numId w:val="2"/>
        </w:numPr>
      </w:pPr>
      <w:r>
        <w:t xml:space="preserve">Client’s scheduling system permits third-party booking integration, or Client accepts handoff to its own intake channel;</w:t>
      </w:r>
    </w:p>
    <w:p>
      <w:pPr>
        <w:pStyle w:val="ListParagraph"/>
        <w:numPr>
          <w:ilvl w:val="0"/>
          <w:numId w:val="2"/>
        </w:numPr>
      </w:pPr>
      <w:r>
        <w:t xml:space="preserve">Client’s advertising accounts are in good standing and not subject to Platform restrictions at launch;</w:t>
      </w:r>
    </w:p>
    <w:p>
      <w:pPr>
        <w:pStyle w:val="ListParagraph"/>
        <w:numPr>
          <w:ilvl w:val="0"/>
          <w:numId w:val="2"/>
        </w:numPr>
      </w:pPr>
      <w:r>
        <w:t xml:space="preserve">The approved Ad Spend budget is sufficient for meaningful delivery in Client’s market; Stay Booked will advise if it is not.</w:t>
      </w:r>
    </w:p>
    <w:p>
      <w:pPr>
        <w:pStyle w:val="SectionHead"/>
      </w:pPr>
      <w:r>
        <w:t xml:space="preserve">9. No Guarantee of Results</w:t>
      </w:r>
    </w:p>
    <w:p>
      <w:r>
        <w:t xml:space="preserve">As set out in Section 15 of the Agreement, Stay Booked does not guarantee any particular number or quality of leads, appointments, patients, revenue, or return on investment. Client is solely responsible for converting qualified patients into completed appointments and for the professional services Client provides to them.</w:t>
      </w:r>
    </w:p>
    <w:p>
      <w:pPr>
        <w:pStyle w:val="SectionHead"/>
      </w:pPr>
      <w:r>
        <w:t xml:space="preserve">10. Order of Precedence</w:t>
      </w:r>
    </w:p>
    <w:p>
      <w:r>
        <w:t xml:space="preserve">This SOW is subject to the Agreement in all respects, including its limitation of liability, indemnification, no-guarantee, data, dispute resolution, and governing law provisions. If this SOW conflicts with the Agreement, the Agreement controls.</w:t>
      </w:r>
    </w:p>
    <w:p>
      <w:pPr>
        <w:spacing w:before="260"/>
      </w:pPr>
      <w:r>
        <w:rPr>
          <w:b/>
          <w:bCs/>
        </w:rPr>
        <w:t xml:space="preserve">AGREED AND ACCEPTED:</w:t>
      </w:r>
    </w:p>
    <w:tbl>
      <w:tblPr>
        <w:tblW w:type="dxa" w:w="9360"/>
        <w:tblBorders>
          <w:top w:val="none"/>
          <w:left w:val="none"/>
          <w:bottom w:val="none"/>
          <w:right w:val="none"/>
          <w:insideH w:val="none"/>
          <w:insideV w:val="none"/>
        </w:tblBorders>
      </w:tblPr>
      <w:tblGrid>
        <w:gridCol w:w="4680"/>
        <w:gridCol w:w="4680"/>
      </w:tblGrid>
      <w:tr>
        <w:tc>
          <w:tcPr>
            <w:tcW w:type="dxa" w:w="4680"/>
            <w:tcBorders>
              <w:top w:val="none"/>
              <w:left w:val="none"/>
              <w:bottom w:val="none"/>
              <w:right w:val="none"/>
            </w:tcBorders>
            <w:tcMar>
              <w:top w:type="dxa" w:w="80"/>
              <w:bottom w:type="dxa" w:w="80"/>
              <w:right w:type="dxa" w:w="260"/>
            </w:tcMar>
          </w:tcPr>
          <w:p>
            <w:pPr>
              <w:spacing w:after="60"/>
            </w:pPr>
            <w:r>
              <w:rPr>
                <w:b/>
                <w:bCs/>
                <w:sz w:val="21"/>
                <w:szCs w:val="21"/>
              </w:rPr>
              <w:t xml:space="preserve">STAY BOOKED MARKETING LLC</w:t>
            </w:r>
          </w:p>
          <w:p>
            <w:pPr>
              <w:pBdr>
                <w:bottom w:val="single" w:color="333333" w:sz="6"/>
              </w:pBdr>
              <w:spacing w:before="340"/>
            </w:pPr>
            <w:r>
              <w:t xml:space="preserve"> </w:t>
            </w:r>
          </w:p>
          <w:p>
            <w:pPr>
              <w:spacing w:after="40"/>
            </w:pPr>
            <w:r>
              <w:rPr>
                <w:color w:val="5A5A5A"/>
                <w:sz w:val="17"/>
                <w:szCs w:val="17"/>
              </w:rPr>
              <w:t xml:space="preserve">Signature</w:t>
            </w:r>
          </w:p>
          <w:p>
            <w:pPr>
              <w:pBdr>
                <w:bottom w:val="single" w:color="333333" w:sz="6"/>
              </w:pBdr>
              <w:spacing w:before="340"/>
            </w:pPr>
            <w:r>
              <w:t xml:space="preserve"> </w:t>
            </w:r>
          </w:p>
          <w:p>
            <w:pPr>
              <w:spacing w:after="40"/>
            </w:pPr>
            <w:r>
              <w:rPr>
                <w:color w:val="5A5A5A"/>
                <w:sz w:val="17"/>
                <w:szCs w:val="17"/>
              </w:rPr>
              <w:t xml:space="preserve">Printed Name</w:t>
            </w:r>
          </w:p>
          <w:p>
            <w:pPr>
              <w:pBdr>
                <w:bottom w:val="single" w:color="333333" w:sz="6"/>
              </w:pBdr>
              <w:spacing w:before="340"/>
            </w:pPr>
            <w:r>
              <w:t xml:space="preserve"> </w:t>
            </w:r>
          </w:p>
          <w:p>
            <w:pPr>
              <w:spacing w:after="40"/>
            </w:pPr>
            <w:r>
              <w:rPr>
                <w:color w:val="5A5A5A"/>
                <w:sz w:val="17"/>
                <w:szCs w:val="17"/>
              </w:rPr>
              <w:t xml:space="preserve">Title</w:t>
            </w:r>
          </w:p>
          <w:p>
            <w:pPr>
              <w:pBdr>
                <w:bottom w:val="single" w:color="333333" w:sz="6"/>
              </w:pBdr>
              <w:spacing w:before="340"/>
            </w:pPr>
            <w:r>
              <w:t xml:space="preserve"> </w:t>
            </w:r>
          </w:p>
          <w:p>
            <w:pPr>
              <w:spacing w:after="40"/>
            </w:pPr>
            <w:r>
              <w:rPr>
                <w:color w:val="5A5A5A"/>
                <w:sz w:val="17"/>
                <w:szCs w:val="17"/>
              </w:rPr>
              <w:t xml:space="preserve">Date</w:t>
            </w:r>
          </w:p>
        </w:tc>
        <w:tc>
          <w:tcPr>
            <w:tcW w:type="dxa" w:w="4680"/>
            <w:tcBorders>
              <w:top w:val="none"/>
              <w:left w:val="none"/>
              <w:bottom w:val="none"/>
              <w:right w:val="none"/>
            </w:tcBorders>
            <w:tcMar>
              <w:top w:type="dxa" w:w="80"/>
              <w:bottom w:type="dxa" w:w="80"/>
              <w:right w:type="dxa" w:w="260"/>
            </w:tcMar>
          </w:tcPr>
          <w:p>
            <w:pPr>
              <w:spacing w:after="60"/>
            </w:pPr>
            <w:r>
              <w:rPr>
                <w:b/>
                <w:bCs/>
                <w:sz w:val="21"/>
                <w:szCs w:val="21"/>
              </w:rPr>
              <w:t xml:space="preserve">CLIENT</w:t>
            </w:r>
          </w:p>
          <w:p>
            <w:pPr>
              <w:pBdr>
                <w:bottom w:val="single" w:color="333333" w:sz="6"/>
              </w:pBdr>
              <w:spacing w:before="340"/>
            </w:pPr>
            <w:r>
              <w:t xml:space="preserve"> </w:t>
            </w:r>
          </w:p>
          <w:p>
            <w:pPr>
              <w:spacing w:after="40"/>
            </w:pPr>
            <w:r>
              <w:rPr>
                <w:color w:val="5A5A5A"/>
                <w:sz w:val="17"/>
                <w:szCs w:val="17"/>
              </w:rPr>
              <w:t xml:space="preserve">Signature</w:t>
            </w:r>
          </w:p>
          <w:p>
            <w:pPr>
              <w:pBdr>
                <w:bottom w:val="single" w:color="333333" w:sz="6"/>
              </w:pBdr>
              <w:spacing w:before="340"/>
            </w:pPr>
            <w:r>
              <w:t xml:space="preserve"> </w:t>
            </w:r>
          </w:p>
          <w:p>
            <w:pPr>
              <w:spacing w:after="40"/>
            </w:pPr>
            <w:r>
              <w:rPr>
                <w:color w:val="5A5A5A"/>
                <w:sz w:val="17"/>
                <w:szCs w:val="17"/>
              </w:rPr>
              <w:t xml:space="preserve">Printed Name</w:t>
            </w:r>
          </w:p>
          <w:p>
            <w:pPr>
              <w:pBdr>
                <w:bottom w:val="single" w:color="333333" w:sz="6"/>
              </w:pBdr>
              <w:spacing w:before="340"/>
            </w:pPr>
            <w:r>
              <w:t xml:space="preserve"> </w:t>
            </w:r>
          </w:p>
          <w:p>
            <w:pPr>
              <w:spacing w:after="40"/>
            </w:pPr>
            <w:r>
              <w:rPr>
                <w:color w:val="5A5A5A"/>
                <w:sz w:val="17"/>
                <w:szCs w:val="17"/>
              </w:rPr>
              <w:t xml:space="preserve">Title</w:t>
            </w:r>
          </w:p>
          <w:p>
            <w:pPr>
              <w:pBdr>
                <w:bottom w:val="single" w:color="333333" w:sz="6"/>
              </w:pBdr>
              <w:spacing w:before="340"/>
            </w:pPr>
            <w:r>
              <w:t xml:space="preserve"> </w:t>
            </w:r>
          </w:p>
          <w:p>
            <w:pPr>
              <w:spacing w:after="40"/>
            </w:pPr>
            <w:r>
              <w:rPr>
                <w:color w:val="5A5A5A"/>
                <w:sz w:val="17"/>
                <w:szCs w:val="17"/>
              </w:rPr>
              <w:t xml:space="preserve">Date</w:t>
            </w:r>
          </w:p>
        </w:tc>
      </w:tr>
    </w:tbl>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color w:val="777777"/>
        <w:sz w:val="17"/>
        <w:szCs w:val="17"/>
      </w:rPr>
      <w:t xml:space="preserve">Statement of Work No. 1 — Stay Booked Marketing LLC  ·  Page </w:t>
    </w:r>
    <w:r>
      <w:rPr>
        <w:color w:val="777777"/>
        <w:sz w:val="17"/>
        <w:szCs w:val="17"/>
      </w:rPr>
      <w:fldChar w:fldCharType="begin"/>
      <w:instrText xml:space="preserve">PAGE</w:instrText>
      <w:fldChar w:fldCharType="separate"/>
      <w:fldChar w:fldCharType="end"/>
    </w:r>
    <w:r>
      <w:rPr>
        <w:color w:val="777777"/>
        <w:sz w:val="17"/>
        <w:szCs w:val="17"/>
      </w:rPr>
      <w:t xml:space="preserve"> of </w:t>
    </w:r>
    <w:r>
      <w:rPr>
        <w:color w:val="777777"/>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pPr>
        <w:spacing w:after="15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60"/>
      <w:jc w:val="center"/>
    </w:pPr>
    <w:rPr>
      <w:b/>
      <w:bCs/>
      <w:color w:val="111111"/>
      <w:sz w:val="32"/>
      <w:szCs w:val="32"/>
    </w:rPr>
  </w:style>
  <w:style w:type="paragraph" w:styleId="DocSub">
    <w:name w:val="Doc Subtitle"/>
    <w:basedOn w:val="Normal"/>
    <w:pPr>
      <w:spacing w:after="320"/>
      <w:jc w:val="center"/>
    </w:pPr>
    <w:rPr>
      <w:i/>
      <w:iCs/>
      <w:color w:val="5A5A5A"/>
      <w:sz w:val="19"/>
      <w:szCs w:val="19"/>
    </w:rPr>
  </w:style>
  <w:style w:type="paragraph" w:styleId="SectionHead">
    <w:name w:val="Section Head"/>
    <w:basedOn w:val="Normal"/>
    <w:next w:val="Normal"/>
    <w:pPr>
      <w:keepNext/>
      <w:spacing w:after="110" w:before="280"/>
    </w:pPr>
    <w:rPr>
      <w:b/>
      <w:bCs/>
      <w:color w:val="111111"/>
      <w:sz w:val="22"/>
      <w:szCs w:val="22"/>
    </w:rPr>
  </w:style>
  <w:style w:type="paragraph" w:styleId="SubHead">
    <w:name w:val="Sub Head"/>
    <w:basedOn w:val="Normal"/>
    <w:next w:val="Normal"/>
    <w:pPr>
      <w:keepNext/>
      <w:spacing w:after="90" w:before="200"/>
    </w:pPr>
    <w:rPr>
      <w:b/>
      <w:bCs/>
      <w:color w:val="222222"/>
      <w:sz w:val="21"/>
      <w:szCs w:val="21"/>
    </w:rPr>
  </w:style>
  <w:style w:type="paragraph" w:styleId="Quiet">
    <w:name w:val="Quiet"/>
    <w:basedOn w:val="Normal"/>
    <w:pPr>
      <w:spacing w:after="140"/>
    </w:pPr>
    <w:rPr>
      <w:i/>
      <w:iCs/>
      <w:color w:val="5A5A5A"/>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2026-08-18T05:51:50.763Z</dcterms:created>
  <dcterms:modified xsi:type="dcterms:W3CDTF">2026-08-18T05:51:50.763Z</dcterms:modified>
</cp:coreProperties>
</file>

<file path=docProps/custom.xml><?xml version="1.0" encoding="utf-8"?>
<Properties xmlns="http://schemas.openxmlformats.org/officeDocument/2006/custom-properties" xmlns:vt="http://schemas.openxmlformats.org/officeDocument/2006/docPropsVTypes"/>
</file>