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D0F642" w14:textId="77777777" w:rsidR="008D2163" w:rsidRDefault="00CF51AD">
      <w:pPr>
        <w:spacing w:before="200" w:after="40"/>
        <w:jc w:val="center"/>
      </w:pPr>
      <w:r>
        <w:rPr>
          <w:rFonts w:ascii="Georgia" w:eastAsia="Georgia" w:hAnsi="Georgia" w:cs="Georgia"/>
          <w:b/>
          <w:bCs/>
          <w:color w:val="0F5257"/>
          <w:spacing w:val="30"/>
        </w:rPr>
        <w:t>STAY BOOKED MARKETING</w:t>
      </w:r>
    </w:p>
    <w:p w14:paraId="558440AE" w14:textId="77777777" w:rsidR="008D2163" w:rsidRDefault="00CF51AD">
      <w:pPr>
        <w:pBdr>
          <w:bottom w:val="single" w:sz="10" w:space="8" w:color="8A6D1E"/>
        </w:pBdr>
        <w:spacing w:after="100"/>
        <w:jc w:val="center"/>
      </w:pPr>
      <w:r>
        <w:rPr>
          <w:rFonts w:ascii="Georgia" w:eastAsia="Georgia" w:hAnsi="Georgia" w:cs="Georgia"/>
          <w:b/>
          <w:bCs/>
          <w:color w:val="2B2B2B"/>
          <w:sz w:val="56"/>
          <w:szCs w:val="56"/>
        </w:rPr>
        <w:t>Client Kickoff Meeting</w:t>
      </w:r>
    </w:p>
    <w:p w14:paraId="4DB2330B" w14:textId="77777777" w:rsidR="008D2163" w:rsidRDefault="00CF51AD">
      <w:pPr>
        <w:spacing w:before="140" w:after="400"/>
        <w:jc w:val="center"/>
      </w:pPr>
      <w:r>
        <w:rPr>
          <w:rFonts w:ascii="Calibri" w:eastAsia="Calibri" w:hAnsi="Calibri" w:cs="Calibri"/>
          <w:i/>
          <w:iCs/>
          <w:color w:val="5B6367"/>
          <w:sz w:val="22"/>
          <w:szCs w:val="22"/>
        </w:rPr>
        <w:t>Role Breakdown  ·  Who Covers What</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00"/>
        <w:gridCol w:w="7950"/>
      </w:tblGrid>
      <w:tr w:rsidR="008D2163" w14:paraId="314E9ED5" w14:textId="77777777">
        <w:tblPrEx>
          <w:tblCellMar>
            <w:top w:w="0" w:type="dxa"/>
            <w:bottom w:w="0" w:type="dxa"/>
          </w:tblCellMar>
        </w:tblPrEx>
        <w:tc>
          <w:tcPr>
            <w:tcW w:w="1400" w:type="dxa"/>
            <w:shd w:val="clear" w:color="auto" w:fill="0F5257"/>
            <w:tcMar>
              <w:top w:w="200" w:type="dxa"/>
              <w:left w:w="150" w:type="dxa"/>
              <w:bottom w:w="200" w:type="dxa"/>
              <w:right w:w="150" w:type="dxa"/>
            </w:tcMar>
            <w:vAlign w:val="center"/>
          </w:tcPr>
          <w:p w14:paraId="485D130C" w14:textId="77777777" w:rsidR="008D2163" w:rsidRDefault="00CF51AD">
            <w:pPr>
              <w:jc w:val="center"/>
            </w:pPr>
            <w:r>
              <w:rPr>
                <w:rFonts w:ascii="Georgia" w:eastAsia="Georgia" w:hAnsi="Georgia" w:cs="Georgia"/>
                <w:b/>
                <w:bCs/>
                <w:color w:val="FFFFFF"/>
                <w:sz w:val="40"/>
                <w:szCs w:val="40"/>
              </w:rPr>
              <w:t>01</w:t>
            </w:r>
          </w:p>
        </w:tc>
        <w:tc>
          <w:tcPr>
            <w:tcW w:w="7950" w:type="dxa"/>
            <w:shd w:val="clear" w:color="auto" w:fill="E4EFEE"/>
            <w:tcMar>
              <w:top w:w="200" w:type="dxa"/>
              <w:left w:w="250" w:type="dxa"/>
              <w:bottom w:w="200" w:type="dxa"/>
              <w:right w:w="250" w:type="dxa"/>
            </w:tcMar>
            <w:vAlign w:val="center"/>
          </w:tcPr>
          <w:p w14:paraId="35B09C56" w14:textId="77777777" w:rsidR="008D2163" w:rsidRDefault="00CF51AD">
            <w:pPr>
              <w:spacing w:after="40"/>
            </w:pPr>
            <w:r>
              <w:rPr>
                <w:rFonts w:ascii="Georgia" w:eastAsia="Georgia" w:hAnsi="Georgia" w:cs="Georgia"/>
                <w:b/>
                <w:bCs/>
                <w:color w:val="0F5257"/>
                <w:sz w:val="26"/>
                <w:szCs w:val="26"/>
              </w:rPr>
              <w:t>COMPLIANCE &amp; LEGAL</w:t>
            </w:r>
          </w:p>
          <w:p w14:paraId="536A5513" w14:textId="77777777" w:rsidR="008D2163" w:rsidRDefault="00CF51AD">
            <w:r>
              <w:rPr>
                <w:rFonts w:ascii="Calibri" w:eastAsia="Calibri" w:hAnsi="Calibri" w:cs="Calibri"/>
                <w:i/>
                <w:iCs/>
                <w:color w:val="5B6367"/>
              </w:rPr>
              <w:t>Insurance, HIPAA, BAA, and Terms of Service</w:t>
            </w:r>
          </w:p>
        </w:tc>
      </w:tr>
    </w:tbl>
    <w:p w14:paraId="30301E8E" w14:textId="77777777" w:rsidR="008D2163" w:rsidRDefault="008D2163">
      <w:pPr>
        <w:spacing w:after="120"/>
      </w:pPr>
    </w:p>
    <w:p w14:paraId="41110ADF" w14:textId="77777777" w:rsidR="008D2163" w:rsidRDefault="00CF51AD">
      <w:pPr>
        <w:pBdr>
          <w:bottom w:val="single" w:sz="6" w:space="4" w:color="0F5257"/>
        </w:pBdr>
        <w:spacing w:before="260" w:after="100"/>
      </w:pPr>
      <w:r>
        <w:rPr>
          <w:rFonts w:ascii="Georgia" w:eastAsia="Georgia" w:hAnsi="Georgia" w:cs="Georgia"/>
          <w:b/>
          <w:bCs/>
          <w:color w:val="0F5257"/>
          <w:spacing w:val="12"/>
        </w:rPr>
        <w:t>INSURANCE &amp; ELIGIBILITY</w:t>
      </w:r>
    </w:p>
    <w:p w14:paraId="45DAEC52" w14:textId="77777777" w:rsidR="008D2163" w:rsidRDefault="00CF51AD">
      <w:pPr>
        <w:spacing w:after="90"/>
        <w:ind w:left="360" w:hanging="260"/>
      </w:pPr>
      <w:r>
        <w:rPr>
          <w:rFonts w:ascii="Calibri" w:eastAsia="Calibri" w:hAnsi="Calibri" w:cs="Calibri"/>
          <w:b/>
          <w:bCs/>
          <w:color w:val="0F5257"/>
          <w:sz w:val="21"/>
          <w:szCs w:val="21"/>
        </w:rPr>
        <w:t xml:space="preserve">—  </w:t>
      </w:r>
      <w:r>
        <w:rPr>
          <w:rFonts w:ascii="Calibri" w:eastAsia="Calibri" w:hAnsi="Calibri" w:cs="Calibri"/>
          <w:color w:val="2B2B2B"/>
          <w:sz w:val="21"/>
          <w:szCs w:val="21"/>
        </w:rPr>
        <w:t>Walk through what insurance the practice accepts and their service area.</w:t>
      </w:r>
    </w:p>
    <w:p w14:paraId="7AA8E16C" w14:textId="77777777" w:rsidR="008D2163" w:rsidRDefault="00CF51AD">
      <w:pPr>
        <w:spacing w:after="90"/>
        <w:ind w:left="360" w:hanging="260"/>
      </w:pPr>
      <w:r>
        <w:rPr>
          <w:rFonts w:ascii="Calibri" w:eastAsia="Calibri" w:hAnsi="Calibri" w:cs="Calibri"/>
          <w:b/>
          <w:bCs/>
          <w:color w:val="0F5257"/>
          <w:sz w:val="21"/>
          <w:szCs w:val="21"/>
        </w:rPr>
        <w:t xml:space="preserve">—  </w:t>
      </w:r>
      <w:r>
        <w:rPr>
          <w:rFonts w:ascii="Calibri" w:eastAsia="Calibri" w:hAnsi="Calibri" w:cs="Calibri"/>
          <w:color w:val="2B2B2B"/>
          <w:sz w:val="21"/>
          <w:szCs w:val="21"/>
        </w:rPr>
        <w:t>Explain how insurance and service area feed into what counts as a qualifying lead.</w:t>
      </w:r>
    </w:p>
    <w:p w14:paraId="3BDCF20F" w14:textId="77777777" w:rsidR="008D2163" w:rsidRDefault="00CF51AD">
      <w:pPr>
        <w:pBdr>
          <w:bottom w:val="single" w:sz="6" w:space="4" w:color="0F5257"/>
        </w:pBdr>
        <w:spacing w:before="260" w:after="100"/>
      </w:pPr>
      <w:r>
        <w:rPr>
          <w:rFonts w:ascii="Georgia" w:eastAsia="Georgia" w:hAnsi="Georgia" w:cs="Georgia"/>
          <w:b/>
          <w:bCs/>
          <w:color w:val="0F5257"/>
          <w:spacing w:val="12"/>
        </w:rPr>
        <w:t>HIPAA &amp; DATA HANDLING</w:t>
      </w:r>
    </w:p>
    <w:p w14:paraId="263EECA9" w14:textId="77777777" w:rsidR="008D2163" w:rsidRDefault="00CF51AD">
      <w:pPr>
        <w:spacing w:after="90"/>
        <w:ind w:left="360" w:hanging="260"/>
      </w:pPr>
      <w:r>
        <w:rPr>
          <w:rFonts w:ascii="Calibri" w:eastAsia="Calibri" w:hAnsi="Calibri" w:cs="Calibri"/>
          <w:b/>
          <w:bCs/>
          <w:color w:val="0F5257"/>
          <w:sz w:val="21"/>
          <w:szCs w:val="21"/>
        </w:rPr>
        <w:t xml:space="preserve">—  </w:t>
      </w:r>
      <w:r>
        <w:rPr>
          <w:rFonts w:ascii="Calibri" w:eastAsia="Calibri" w:hAnsi="Calibri" w:cs="Calibri"/>
          <w:color w:val="2B2B2B"/>
          <w:sz w:val="21"/>
          <w:szCs w:val="21"/>
        </w:rPr>
        <w:t>Cover what can and cannot be asked on lead forms.</w:t>
      </w:r>
      <w:r>
        <w:rPr>
          <w:rFonts w:ascii="Calibri" w:eastAsia="Calibri" w:hAnsi="Calibri" w:cs="Calibri"/>
          <w:i/>
          <w:iCs/>
          <w:color w:val="5B6367"/>
        </w:rPr>
        <w:t xml:space="preserve">  (Forms only collect what's needed, like name and phone number. No questions about symptoms, sicknesses, or treatments. Every form includes a link to the Privacy Policy and a permission checkbox for calls or texts, including AI contact.)</w:t>
      </w:r>
    </w:p>
    <w:p w14:paraId="5709E69C" w14:textId="77777777" w:rsidR="008D2163" w:rsidRDefault="00CF51AD">
      <w:pPr>
        <w:spacing w:after="90"/>
        <w:ind w:left="360" w:hanging="260"/>
      </w:pPr>
      <w:r>
        <w:rPr>
          <w:rFonts w:ascii="Calibri" w:eastAsia="Calibri" w:hAnsi="Calibri" w:cs="Calibri"/>
          <w:b/>
          <w:bCs/>
          <w:color w:val="0F5257"/>
          <w:sz w:val="21"/>
          <w:szCs w:val="21"/>
        </w:rPr>
        <w:t xml:space="preserve">—  </w:t>
      </w:r>
      <w:r>
        <w:rPr>
          <w:rFonts w:ascii="Calibri" w:eastAsia="Calibri" w:hAnsi="Calibri" w:cs="Calibri"/>
          <w:color w:val="2B2B2B"/>
          <w:sz w:val="21"/>
          <w:szCs w:val="21"/>
        </w:rPr>
        <w:t>Explain how patient data is handled end to end.</w:t>
      </w:r>
      <w:r>
        <w:rPr>
          <w:rFonts w:ascii="Calibri" w:eastAsia="Calibri" w:hAnsi="Calibri" w:cs="Calibri"/>
          <w:i/>
          <w:iCs/>
          <w:color w:val="5B6367"/>
        </w:rPr>
        <w:t xml:space="preserve">  (No patient lists or health info are ever uploaded into Facebook or Google ads. Signed permission records are kept and never deleted, and if someone opts out, contact stops immediately and permanently.)</w:t>
      </w:r>
    </w:p>
    <w:p w14:paraId="31E0D8FF" w14:textId="77777777" w:rsidR="008D2163" w:rsidRDefault="00CF51AD">
      <w:pPr>
        <w:spacing w:after="90"/>
        <w:ind w:left="360" w:hanging="260"/>
      </w:pPr>
      <w:r>
        <w:rPr>
          <w:rFonts w:ascii="Calibri" w:eastAsia="Calibri" w:hAnsi="Calibri" w:cs="Calibri"/>
          <w:b/>
          <w:bCs/>
          <w:color w:val="0F5257"/>
          <w:sz w:val="21"/>
          <w:szCs w:val="21"/>
        </w:rPr>
        <w:t xml:space="preserve">—  </w:t>
      </w:r>
      <w:r>
        <w:rPr>
          <w:rFonts w:ascii="Calibri" w:eastAsia="Calibri" w:hAnsi="Calibri" w:cs="Calibri"/>
          <w:color w:val="2B2B2B"/>
          <w:sz w:val="21"/>
          <w:szCs w:val="21"/>
        </w:rPr>
        <w:t>Reconfirm HIPAA handling expectations, since this is a psychiatric practice.</w:t>
      </w:r>
    </w:p>
    <w:p w14:paraId="19F17ED0" w14:textId="77777777" w:rsidR="008D2163" w:rsidRDefault="00CF51AD">
      <w:pPr>
        <w:pBdr>
          <w:bottom w:val="single" w:sz="6" w:space="4" w:color="0F5257"/>
        </w:pBdr>
        <w:spacing w:before="260" w:after="100"/>
      </w:pPr>
      <w:r>
        <w:rPr>
          <w:rFonts w:ascii="Georgia" w:eastAsia="Georgia" w:hAnsi="Georgia" w:cs="Georgia"/>
          <w:b/>
          <w:bCs/>
          <w:color w:val="0F5257"/>
          <w:spacing w:val="12"/>
        </w:rPr>
        <w:t>AGREEMENTS</w:t>
      </w:r>
    </w:p>
    <w:p w14:paraId="609AB2AC" w14:textId="77777777" w:rsidR="008D2163" w:rsidRDefault="00CF51AD">
      <w:pPr>
        <w:spacing w:after="90"/>
        <w:ind w:left="360" w:hanging="260"/>
      </w:pPr>
      <w:r>
        <w:rPr>
          <w:rFonts w:ascii="Calibri" w:eastAsia="Calibri" w:hAnsi="Calibri" w:cs="Calibri"/>
          <w:b/>
          <w:bCs/>
          <w:color w:val="0F5257"/>
          <w:sz w:val="21"/>
          <w:szCs w:val="21"/>
        </w:rPr>
        <w:t xml:space="preserve">—  </w:t>
      </w:r>
      <w:r>
        <w:rPr>
          <w:rFonts w:ascii="Calibri" w:eastAsia="Calibri" w:hAnsi="Calibri" w:cs="Calibri"/>
          <w:color w:val="2B2B2B"/>
          <w:sz w:val="21"/>
          <w:szCs w:val="21"/>
        </w:rPr>
        <w:t>Walk through the Business Associate Agreement and what it covers.</w:t>
      </w:r>
      <w:r>
        <w:rPr>
          <w:rFonts w:ascii="Calibri" w:eastAsia="Calibri" w:hAnsi="Calibri" w:cs="Calibri"/>
          <w:i/>
          <w:iCs/>
          <w:color w:val="5B6367"/>
        </w:rPr>
        <w:t xml:space="preserve">  (No work begins on any leads until the BAA is signed. Stay Booked also keeps its own signed BAAs with every tool that touches patient info, like GoHighLevel.)</w:t>
      </w:r>
    </w:p>
    <w:p w14:paraId="29C56AC5" w14:textId="77777777" w:rsidR="008D2163" w:rsidRDefault="00CF51AD">
      <w:pPr>
        <w:spacing w:after="90"/>
        <w:ind w:left="360" w:hanging="260"/>
      </w:pPr>
      <w:r>
        <w:rPr>
          <w:rFonts w:ascii="Calibri" w:eastAsia="Calibri" w:hAnsi="Calibri" w:cs="Calibri"/>
          <w:b/>
          <w:bCs/>
          <w:color w:val="0F5257"/>
          <w:sz w:val="21"/>
          <w:szCs w:val="21"/>
        </w:rPr>
        <w:t xml:space="preserve">—  </w:t>
      </w:r>
      <w:r>
        <w:rPr>
          <w:rFonts w:ascii="Calibri" w:eastAsia="Calibri" w:hAnsi="Calibri" w:cs="Calibri"/>
          <w:color w:val="2B2B2B"/>
          <w:sz w:val="21"/>
          <w:szCs w:val="21"/>
        </w:rPr>
        <w:t>Confirm the client has reviewed and signed the Terms of Service.</w:t>
      </w:r>
    </w:p>
    <w:p w14:paraId="159DCBD4" w14:textId="77777777" w:rsidR="008D2163" w:rsidRDefault="008D2163">
      <w:pPr>
        <w:spacing w:after="320"/>
      </w:pP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00"/>
        <w:gridCol w:w="7950"/>
      </w:tblGrid>
      <w:tr w:rsidR="008D2163" w14:paraId="77F7E255" w14:textId="77777777">
        <w:tblPrEx>
          <w:tblCellMar>
            <w:top w:w="0" w:type="dxa"/>
            <w:bottom w:w="0" w:type="dxa"/>
          </w:tblCellMar>
        </w:tblPrEx>
        <w:tc>
          <w:tcPr>
            <w:tcW w:w="1400" w:type="dxa"/>
            <w:shd w:val="clear" w:color="auto" w:fill="C0532A"/>
            <w:tcMar>
              <w:top w:w="200" w:type="dxa"/>
              <w:left w:w="150" w:type="dxa"/>
              <w:bottom w:w="200" w:type="dxa"/>
              <w:right w:w="150" w:type="dxa"/>
            </w:tcMar>
            <w:vAlign w:val="center"/>
          </w:tcPr>
          <w:p w14:paraId="61A149B2" w14:textId="77777777" w:rsidR="008D2163" w:rsidRDefault="00CF51AD">
            <w:pPr>
              <w:jc w:val="center"/>
            </w:pPr>
            <w:r>
              <w:rPr>
                <w:rFonts w:ascii="Georgia" w:eastAsia="Georgia" w:hAnsi="Georgia" w:cs="Georgia"/>
                <w:b/>
                <w:bCs/>
                <w:color w:val="FFFFFF"/>
                <w:sz w:val="40"/>
                <w:szCs w:val="40"/>
              </w:rPr>
              <w:t>02</w:t>
            </w:r>
          </w:p>
        </w:tc>
        <w:tc>
          <w:tcPr>
            <w:tcW w:w="7950" w:type="dxa"/>
            <w:shd w:val="clear" w:color="auto" w:fill="F7E9E2"/>
            <w:tcMar>
              <w:top w:w="200" w:type="dxa"/>
              <w:left w:w="250" w:type="dxa"/>
              <w:bottom w:w="200" w:type="dxa"/>
              <w:right w:w="250" w:type="dxa"/>
            </w:tcMar>
            <w:vAlign w:val="center"/>
          </w:tcPr>
          <w:p w14:paraId="03952F06" w14:textId="77777777" w:rsidR="008D2163" w:rsidRDefault="00CF51AD">
            <w:pPr>
              <w:spacing w:after="40"/>
            </w:pPr>
            <w:r>
              <w:rPr>
                <w:rFonts w:ascii="Georgia" w:eastAsia="Georgia" w:hAnsi="Georgia" w:cs="Georgia"/>
                <w:b/>
                <w:bCs/>
                <w:color w:val="C0532A"/>
                <w:sz w:val="26"/>
                <w:szCs w:val="26"/>
              </w:rPr>
              <w:t>MONEY &amp; STRATEGY</w:t>
            </w:r>
          </w:p>
          <w:p w14:paraId="0D39A83D" w14:textId="77777777" w:rsidR="008D2163" w:rsidRDefault="00CF51AD">
            <w:r>
              <w:rPr>
                <w:rFonts w:ascii="Calibri" w:eastAsia="Calibri" w:hAnsi="Calibri" w:cs="Calibri"/>
                <w:i/>
                <w:iCs/>
                <w:color w:val="5B6367"/>
              </w:rPr>
              <w:t>Performance guarantee, ad spend, billing, and timeline</w:t>
            </w:r>
          </w:p>
        </w:tc>
      </w:tr>
    </w:tbl>
    <w:p w14:paraId="7BB2BD3A" w14:textId="77777777" w:rsidR="008D2163" w:rsidRDefault="008D2163">
      <w:pPr>
        <w:spacing w:after="120"/>
      </w:pPr>
    </w:p>
    <w:p w14:paraId="13125EEC" w14:textId="77777777" w:rsidR="008D2163" w:rsidRDefault="00CF51AD">
      <w:pPr>
        <w:pBdr>
          <w:bottom w:val="single" w:sz="6" w:space="4" w:color="C0532A"/>
        </w:pBdr>
        <w:spacing w:before="260" w:after="100"/>
      </w:pPr>
      <w:r>
        <w:rPr>
          <w:rFonts w:ascii="Georgia" w:eastAsia="Georgia" w:hAnsi="Georgia" w:cs="Georgia"/>
          <w:b/>
          <w:bCs/>
          <w:color w:val="C0532A"/>
          <w:spacing w:val="12"/>
        </w:rPr>
        <w:t>PERFORMANCE GUARANTEE</w:t>
      </w:r>
    </w:p>
    <w:p w14:paraId="42D03929" w14:textId="77777777" w:rsidR="008D2163" w:rsidRDefault="00CF51AD">
      <w:pPr>
        <w:spacing w:after="90"/>
        <w:ind w:left="360" w:hanging="260"/>
      </w:pPr>
      <w:r>
        <w:rPr>
          <w:rFonts w:ascii="Calibri" w:eastAsia="Calibri" w:hAnsi="Calibri" w:cs="Calibri"/>
          <w:b/>
          <w:bCs/>
          <w:color w:val="C0532A"/>
          <w:sz w:val="21"/>
          <w:szCs w:val="21"/>
        </w:rPr>
        <w:t xml:space="preserve">—  </w:t>
      </w:r>
      <w:r>
        <w:rPr>
          <w:rFonts w:ascii="Calibri" w:eastAsia="Calibri" w:hAnsi="Calibri" w:cs="Calibri"/>
          <w:color w:val="2B2B2B"/>
          <w:sz w:val="21"/>
          <w:szCs w:val="21"/>
        </w:rPr>
        <w:t>Walk through the guarantee structure.</w:t>
      </w:r>
      <w:r>
        <w:rPr>
          <w:rFonts w:ascii="Calibri" w:eastAsia="Calibri" w:hAnsi="Calibri" w:cs="Calibri"/>
          <w:i/>
          <w:iCs/>
          <w:color w:val="5B6367"/>
        </w:rPr>
        <w:t xml:space="preserve">  (15 qualified leads guaranteed across the first 90 days only, no month-by-month checkpoint. If 15 isn't hit by day 90, the retainer pauses until it is. After the first 90 days and the 15-lead threshold is hit, there is no ongoing monthly guarantee.)</w:t>
      </w:r>
    </w:p>
    <w:p w14:paraId="492DA0ED" w14:textId="77777777" w:rsidR="008D2163" w:rsidRDefault="00CF51AD">
      <w:pPr>
        <w:spacing w:after="90"/>
        <w:ind w:left="360" w:hanging="260"/>
      </w:pPr>
      <w:r>
        <w:rPr>
          <w:rFonts w:ascii="Calibri" w:eastAsia="Calibri" w:hAnsi="Calibri" w:cs="Calibri"/>
          <w:b/>
          <w:bCs/>
          <w:color w:val="C0532A"/>
          <w:sz w:val="21"/>
          <w:szCs w:val="21"/>
        </w:rPr>
        <w:t xml:space="preserve">—  </w:t>
      </w:r>
      <w:r>
        <w:rPr>
          <w:rFonts w:ascii="Calibri" w:eastAsia="Calibri" w:hAnsi="Calibri" w:cs="Calibri"/>
          <w:color w:val="2B2B2B"/>
          <w:sz w:val="21"/>
          <w:szCs w:val="21"/>
        </w:rPr>
        <w:t>Clearly define what counts as a Qualified Lead.</w:t>
      </w:r>
      <w:r>
        <w:rPr>
          <w:rFonts w:ascii="Calibri" w:eastAsia="Calibri" w:hAnsi="Calibri" w:cs="Calibri"/>
          <w:i/>
          <w:iCs/>
          <w:color w:val="5B6367"/>
        </w:rPr>
        <w:t xml:space="preserve">  (In the service area, matches accepted insurance or private pay, full form completed with real contact info, actively seeking care, and has responded to at least one AI follow up call or text.)</w:t>
      </w:r>
    </w:p>
    <w:p w14:paraId="7683856D" w14:textId="77777777" w:rsidR="008D2163" w:rsidRDefault="00CF51AD">
      <w:pPr>
        <w:spacing w:after="90"/>
        <w:ind w:left="360" w:hanging="260"/>
      </w:pPr>
      <w:r>
        <w:rPr>
          <w:rFonts w:ascii="Calibri" w:eastAsia="Calibri" w:hAnsi="Calibri" w:cs="Calibri"/>
          <w:b/>
          <w:bCs/>
          <w:color w:val="C0532A"/>
          <w:sz w:val="21"/>
          <w:szCs w:val="21"/>
        </w:rPr>
        <w:t xml:space="preserve">—  </w:t>
      </w:r>
      <w:r>
        <w:rPr>
          <w:rFonts w:ascii="Calibri" w:eastAsia="Calibri" w:hAnsi="Calibri" w:cs="Calibri"/>
          <w:color w:val="2B2B2B"/>
          <w:sz w:val="21"/>
          <w:szCs w:val="21"/>
        </w:rPr>
        <w:t>Explain the remedy: retainer pauses if missed, ad spend is not refundable.</w:t>
      </w:r>
    </w:p>
    <w:p w14:paraId="2EA2A4EE" w14:textId="77777777" w:rsidR="008D2163" w:rsidRDefault="00CF51AD">
      <w:pPr>
        <w:spacing w:after="90"/>
        <w:ind w:left="360" w:hanging="260"/>
      </w:pPr>
      <w:r>
        <w:rPr>
          <w:rFonts w:ascii="Calibri" w:eastAsia="Calibri" w:hAnsi="Calibri" w:cs="Calibri"/>
          <w:b/>
          <w:bCs/>
          <w:color w:val="C0532A"/>
          <w:sz w:val="21"/>
          <w:szCs w:val="21"/>
        </w:rPr>
        <w:t xml:space="preserve">—  </w:t>
      </w:r>
      <w:r>
        <w:rPr>
          <w:rFonts w:ascii="Calibri" w:eastAsia="Calibri" w:hAnsi="Calibri" w:cs="Calibri"/>
          <w:color w:val="2B2B2B"/>
          <w:sz w:val="21"/>
          <w:szCs w:val="21"/>
        </w:rPr>
        <w:t>Cover client responsibilities that protect the guarantee: fast approvals, no pausing campaigns, timely follow-up.</w:t>
      </w:r>
    </w:p>
    <w:p w14:paraId="309DFB61" w14:textId="77777777" w:rsidR="008D2163" w:rsidRDefault="00CF51AD">
      <w:pPr>
        <w:spacing w:after="90"/>
        <w:ind w:left="360" w:hanging="260"/>
      </w:pPr>
      <w:r>
        <w:rPr>
          <w:rFonts w:ascii="Calibri" w:eastAsia="Calibri" w:hAnsi="Calibri" w:cs="Calibri"/>
          <w:b/>
          <w:bCs/>
          <w:color w:val="C0532A"/>
          <w:sz w:val="21"/>
          <w:szCs w:val="21"/>
        </w:rPr>
        <w:t xml:space="preserve">—  </w:t>
      </w:r>
      <w:r>
        <w:rPr>
          <w:rFonts w:ascii="Calibri" w:eastAsia="Calibri" w:hAnsi="Calibri" w:cs="Calibri"/>
          <w:color w:val="2B2B2B"/>
          <w:sz w:val="21"/>
          <w:szCs w:val="21"/>
        </w:rPr>
        <w:t>Be upfront: the guarantee covers lead delivery, not conversion into booked patients.</w:t>
      </w:r>
    </w:p>
    <w:p w14:paraId="37C18591" w14:textId="77777777" w:rsidR="008D2163" w:rsidRDefault="00CF51AD">
      <w:pPr>
        <w:pBdr>
          <w:bottom w:val="single" w:sz="6" w:space="4" w:color="C0532A"/>
        </w:pBdr>
        <w:spacing w:before="260" w:after="100"/>
      </w:pPr>
      <w:r>
        <w:rPr>
          <w:rFonts w:ascii="Georgia" w:eastAsia="Georgia" w:hAnsi="Georgia" w:cs="Georgia"/>
          <w:b/>
          <w:bCs/>
          <w:color w:val="C0532A"/>
          <w:spacing w:val="12"/>
        </w:rPr>
        <w:t>TIMELINE &amp; RAMP-UP</w:t>
      </w:r>
    </w:p>
    <w:p w14:paraId="162DD08A" w14:textId="77777777" w:rsidR="008D2163" w:rsidRDefault="00CF51AD">
      <w:pPr>
        <w:spacing w:after="90"/>
        <w:ind w:left="360" w:hanging="260"/>
      </w:pPr>
      <w:r>
        <w:rPr>
          <w:rFonts w:ascii="Calibri" w:eastAsia="Calibri" w:hAnsi="Calibri" w:cs="Calibri"/>
          <w:b/>
          <w:bCs/>
          <w:color w:val="C0532A"/>
          <w:sz w:val="21"/>
          <w:szCs w:val="21"/>
        </w:rPr>
        <w:lastRenderedPageBreak/>
        <w:t xml:space="preserve">—  </w:t>
      </w:r>
      <w:r>
        <w:rPr>
          <w:rFonts w:ascii="Calibri" w:eastAsia="Calibri" w:hAnsi="Calibri" w:cs="Calibri"/>
          <w:color w:val="2B2B2B"/>
          <w:sz w:val="21"/>
          <w:szCs w:val="21"/>
        </w:rPr>
        <w:t>Set expectations that early months are testing and calibration.</w:t>
      </w:r>
      <w:r>
        <w:rPr>
          <w:rFonts w:ascii="Calibri" w:eastAsia="Calibri" w:hAnsi="Calibri" w:cs="Calibri"/>
          <w:i/>
          <w:iCs/>
          <w:color w:val="5B6367"/>
        </w:rPr>
        <w:t xml:space="preserve">  (It's genuine trial and error at the start, it can take a few weeks or even a couple months to find the winning combination for that specific area. Once the right formula is found using AI analytics, pixel data, and testing, more of what works gets created and results usually take off. Don't be discouraged if month one or two look slow, months three through six is typically where the bigger numbers show up.)</w:t>
      </w:r>
    </w:p>
    <w:p w14:paraId="76A5EED5" w14:textId="77777777" w:rsidR="008D2163" w:rsidRDefault="00CF51AD">
      <w:pPr>
        <w:spacing w:after="90"/>
        <w:ind w:left="360" w:hanging="260"/>
      </w:pPr>
      <w:r>
        <w:rPr>
          <w:rFonts w:ascii="Calibri" w:eastAsia="Calibri" w:hAnsi="Calibri" w:cs="Calibri"/>
          <w:b/>
          <w:bCs/>
          <w:color w:val="C0532A"/>
          <w:sz w:val="21"/>
          <w:szCs w:val="21"/>
        </w:rPr>
        <w:t xml:space="preserve">—  </w:t>
      </w:r>
      <w:r>
        <w:rPr>
          <w:rFonts w:ascii="Calibri" w:eastAsia="Calibri" w:hAnsi="Calibri" w:cs="Calibri"/>
          <w:color w:val="2B2B2B"/>
          <w:sz w:val="21"/>
          <w:szCs w:val="21"/>
        </w:rPr>
        <w:t>Explain that once winning ads and audiences are found, bookings scale up steadily.</w:t>
      </w:r>
    </w:p>
    <w:p w14:paraId="56C86421" w14:textId="77777777" w:rsidR="008D2163" w:rsidRDefault="00CF51AD">
      <w:pPr>
        <w:spacing w:after="90"/>
        <w:ind w:left="360" w:hanging="260"/>
      </w:pPr>
      <w:r>
        <w:rPr>
          <w:rFonts w:ascii="Calibri" w:eastAsia="Calibri" w:hAnsi="Calibri" w:cs="Calibri"/>
          <w:b/>
          <w:bCs/>
          <w:color w:val="C0532A"/>
          <w:sz w:val="21"/>
          <w:szCs w:val="21"/>
        </w:rPr>
        <w:t xml:space="preserve">—  </w:t>
      </w:r>
      <w:r>
        <w:rPr>
          <w:rFonts w:ascii="Calibri" w:eastAsia="Calibri" w:hAnsi="Calibri" w:cs="Calibri"/>
          <w:color w:val="2B2B2B"/>
          <w:sz w:val="21"/>
          <w:szCs w:val="21"/>
        </w:rPr>
        <w:t>Frame early months as normal, not a red flag.</w:t>
      </w:r>
    </w:p>
    <w:p w14:paraId="60B61E7A" w14:textId="77777777" w:rsidR="008D2163" w:rsidRDefault="00CF51AD">
      <w:pPr>
        <w:spacing w:after="90"/>
        <w:ind w:left="360" w:hanging="260"/>
      </w:pPr>
      <w:r>
        <w:rPr>
          <w:rFonts w:ascii="Calibri" w:eastAsia="Calibri" w:hAnsi="Calibri" w:cs="Calibri"/>
          <w:b/>
          <w:bCs/>
          <w:color w:val="C0532A"/>
          <w:sz w:val="21"/>
          <w:szCs w:val="21"/>
        </w:rPr>
        <w:t xml:space="preserve">—  </w:t>
      </w:r>
      <w:r>
        <w:rPr>
          <w:rFonts w:ascii="Calibri" w:eastAsia="Calibri" w:hAnsi="Calibri" w:cs="Calibri"/>
          <w:color w:val="2B2B2B"/>
          <w:sz w:val="21"/>
          <w:szCs w:val="21"/>
        </w:rPr>
        <w:t>Emphasize campaigns are custom-built and tested per practice, not copy-pasted.</w:t>
      </w:r>
      <w:r>
        <w:rPr>
          <w:rFonts w:ascii="Calibri" w:eastAsia="Calibri" w:hAnsi="Calibri" w:cs="Calibri"/>
          <w:i/>
          <w:iCs/>
          <w:color w:val="5B6367"/>
        </w:rPr>
        <w:t xml:space="preserve">  (Just because something worked for a past client doesn't mean it gets reused as-is. Every client's campaign is treated as its own project, built and tested specifically for their area and their audience to get the best possible product for them.)</w:t>
      </w:r>
    </w:p>
    <w:p w14:paraId="45BC1C04" w14:textId="77777777" w:rsidR="008D2163" w:rsidRDefault="00CF51AD">
      <w:pPr>
        <w:pBdr>
          <w:bottom w:val="single" w:sz="6" w:space="4" w:color="C0532A"/>
        </w:pBdr>
        <w:spacing w:before="260" w:after="100"/>
      </w:pPr>
      <w:r>
        <w:rPr>
          <w:rFonts w:ascii="Georgia" w:eastAsia="Georgia" w:hAnsi="Georgia" w:cs="Georgia"/>
          <w:b/>
          <w:bCs/>
          <w:color w:val="C0532A"/>
          <w:spacing w:val="12"/>
        </w:rPr>
        <w:t>AD SPEND &amp; BILLING</w:t>
      </w:r>
    </w:p>
    <w:p w14:paraId="5C8B9C4B" w14:textId="77777777" w:rsidR="008D2163" w:rsidRDefault="00CF51AD">
      <w:pPr>
        <w:spacing w:after="90"/>
        <w:ind w:left="360" w:hanging="260"/>
      </w:pPr>
      <w:r>
        <w:rPr>
          <w:rFonts w:ascii="Calibri" w:eastAsia="Calibri" w:hAnsi="Calibri" w:cs="Calibri"/>
          <w:b/>
          <w:bCs/>
          <w:color w:val="C0532A"/>
          <w:sz w:val="21"/>
          <w:szCs w:val="21"/>
        </w:rPr>
        <w:t xml:space="preserve">—  </w:t>
      </w:r>
      <w:r>
        <w:rPr>
          <w:rFonts w:ascii="Calibri" w:eastAsia="Calibri" w:hAnsi="Calibri" w:cs="Calibri"/>
          <w:color w:val="2B2B2B"/>
          <w:sz w:val="21"/>
          <w:szCs w:val="21"/>
        </w:rPr>
        <w:t>Confirm the agreed monthly ad spend minimum.</w:t>
      </w:r>
      <w:r>
        <w:rPr>
          <w:rFonts w:ascii="Calibri" w:eastAsia="Calibri" w:hAnsi="Calibri" w:cs="Calibri"/>
          <w:i/>
          <w:iCs/>
          <w:color w:val="5B6367"/>
        </w:rPr>
        <w:t xml:space="preserve">  (1,500 dollars a month is the real baseline we push and the one we want to lead with. 1,000 exists only as a last-resort minimum if a client truly needs it, and 2,000 plus is the ideal tier. Avoid dwelling on anything below 1,500.)</w:t>
      </w:r>
    </w:p>
    <w:p w14:paraId="72F7D717" w14:textId="77777777" w:rsidR="008D2163" w:rsidRDefault="00CF51AD">
      <w:pPr>
        <w:spacing w:after="90"/>
        <w:ind w:left="360" w:hanging="260"/>
      </w:pPr>
      <w:r>
        <w:rPr>
          <w:rFonts w:ascii="Calibri" w:eastAsia="Calibri" w:hAnsi="Calibri" w:cs="Calibri"/>
          <w:b/>
          <w:bCs/>
          <w:color w:val="C0532A"/>
          <w:sz w:val="21"/>
          <w:szCs w:val="21"/>
        </w:rPr>
        <w:t xml:space="preserve">—  </w:t>
      </w:r>
      <w:r>
        <w:rPr>
          <w:rFonts w:ascii="Calibri" w:eastAsia="Calibri" w:hAnsi="Calibri" w:cs="Calibri"/>
          <w:color w:val="2B2B2B"/>
          <w:sz w:val="21"/>
          <w:szCs w:val="21"/>
        </w:rPr>
        <w:t>Confirm who pays the ad platform directly vs. what's in the retainer.</w:t>
      </w:r>
      <w:r>
        <w:rPr>
          <w:rFonts w:ascii="Calibri" w:eastAsia="Calibri" w:hAnsi="Calibri" w:cs="Calibri"/>
          <w:i/>
          <w:iCs/>
          <w:color w:val="5B6367"/>
        </w:rPr>
        <w:t xml:space="preserve">  (Client connects their own card directly to Facebook or Google and is billed by the platform directly, completely separate from the retainer. Combined total is 3,500 dollars a month (1,500 ad spend plus the retainer), with no startup fee. Emphasize the no startup fee.)</w:t>
      </w:r>
    </w:p>
    <w:p w14:paraId="29037223" w14:textId="77777777" w:rsidR="008D2163" w:rsidRDefault="00CF51AD">
      <w:pPr>
        <w:spacing w:after="90"/>
        <w:ind w:left="360" w:hanging="260"/>
      </w:pPr>
      <w:r>
        <w:rPr>
          <w:rFonts w:ascii="Calibri" w:eastAsia="Calibri" w:hAnsi="Calibri" w:cs="Calibri"/>
          <w:b/>
          <w:bCs/>
          <w:color w:val="C0532A"/>
          <w:sz w:val="21"/>
          <w:szCs w:val="21"/>
        </w:rPr>
        <w:t xml:space="preserve">—  </w:t>
      </w:r>
      <w:r>
        <w:rPr>
          <w:rFonts w:ascii="Calibri" w:eastAsia="Calibri" w:hAnsi="Calibri" w:cs="Calibri"/>
          <w:color w:val="2B2B2B"/>
          <w:sz w:val="21"/>
          <w:szCs w:val="21"/>
        </w:rPr>
        <w:t>Discuss timeline for campaigns to go live and when leads start coming in.</w:t>
      </w:r>
    </w:p>
    <w:p w14:paraId="043E6809" w14:textId="77777777" w:rsidR="008D2163" w:rsidRDefault="00CF51AD">
      <w:pPr>
        <w:spacing w:after="90"/>
        <w:ind w:left="360" w:hanging="260"/>
      </w:pPr>
      <w:r>
        <w:rPr>
          <w:rFonts w:ascii="Calibri" w:eastAsia="Calibri" w:hAnsi="Calibri" w:cs="Calibri"/>
          <w:b/>
          <w:bCs/>
          <w:color w:val="C0532A"/>
          <w:sz w:val="21"/>
          <w:szCs w:val="21"/>
        </w:rPr>
        <w:t xml:space="preserve">—  </w:t>
      </w:r>
      <w:r>
        <w:rPr>
          <w:rFonts w:ascii="Calibri" w:eastAsia="Calibri" w:hAnsi="Calibri" w:cs="Calibri"/>
          <w:color w:val="2B2B2B"/>
          <w:sz w:val="21"/>
          <w:szCs w:val="21"/>
        </w:rPr>
        <w:t>Confirm billing start date and invoicing method.</w:t>
      </w:r>
    </w:p>
    <w:p w14:paraId="6929C109" w14:textId="77777777" w:rsidR="008D2163" w:rsidRDefault="00CF51AD">
      <w:pPr>
        <w:pBdr>
          <w:bottom w:val="single" w:sz="6" w:space="4" w:color="C0532A"/>
        </w:pBdr>
        <w:spacing w:before="260" w:after="100"/>
      </w:pPr>
      <w:r>
        <w:rPr>
          <w:rFonts w:ascii="Georgia" w:eastAsia="Georgia" w:hAnsi="Georgia" w:cs="Georgia"/>
          <w:b/>
          <w:bCs/>
          <w:color w:val="C0532A"/>
          <w:spacing w:val="12"/>
        </w:rPr>
        <w:t>TROUBLESHOOTING</w:t>
      </w:r>
    </w:p>
    <w:p w14:paraId="01DF7713" w14:textId="77777777" w:rsidR="008D2163" w:rsidRDefault="00CF51AD">
      <w:pPr>
        <w:spacing w:after="90"/>
        <w:ind w:left="360" w:hanging="260"/>
      </w:pPr>
      <w:r>
        <w:rPr>
          <w:rFonts w:ascii="Calibri" w:eastAsia="Calibri" w:hAnsi="Calibri" w:cs="Calibri"/>
          <w:b/>
          <w:bCs/>
          <w:color w:val="C0532A"/>
          <w:sz w:val="21"/>
          <w:szCs w:val="21"/>
        </w:rPr>
        <w:t xml:space="preserve">—  </w:t>
      </w:r>
      <w:r>
        <w:rPr>
          <w:rFonts w:ascii="Calibri" w:eastAsia="Calibri" w:hAnsi="Calibri" w:cs="Calibri"/>
          <w:color w:val="2B2B2B"/>
          <w:sz w:val="21"/>
          <w:szCs w:val="21"/>
        </w:rPr>
        <w:t>Explain the plan if leads underperform: adjust targeting, swap creative, test new offers.</w:t>
      </w:r>
    </w:p>
    <w:p w14:paraId="74E7D097" w14:textId="77777777" w:rsidR="008D2163" w:rsidRDefault="00CF51AD">
      <w:pPr>
        <w:spacing w:after="90"/>
        <w:ind w:left="360" w:hanging="260"/>
      </w:pPr>
      <w:r>
        <w:rPr>
          <w:rFonts w:ascii="Calibri" w:eastAsia="Calibri" w:hAnsi="Calibri" w:cs="Calibri"/>
          <w:b/>
          <w:bCs/>
          <w:color w:val="C0532A"/>
          <w:sz w:val="21"/>
          <w:szCs w:val="21"/>
        </w:rPr>
        <w:t xml:space="preserve">—  </w:t>
      </w:r>
      <w:r>
        <w:rPr>
          <w:rFonts w:ascii="Calibri" w:eastAsia="Calibri" w:hAnsi="Calibri" w:cs="Calibri"/>
          <w:color w:val="2B2B2B"/>
          <w:sz w:val="21"/>
          <w:szCs w:val="21"/>
        </w:rPr>
        <w:t>Reassure the client there's an active process, not just waiting and hoping.</w:t>
      </w:r>
    </w:p>
    <w:p w14:paraId="7C3A3601" w14:textId="77777777" w:rsidR="008D2163" w:rsidRDefault="008D2163">
      <w:pPr>
        <w:spacing w:after="320"/>
      </w:pP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00"/>
        <w:gridCol w:w="7950"/>
      </w:tblGrid>
      <w:tr w:rsidR="008D2163" w14:paraId="1F358371" w14:textId="77777777">
        <w:tblPrEx>
          <w:tblCellMar>
            <w:top w:w="0" w:type="dxa"/>
            <w:bottom w:w="0" w:type="dxa"/>
          </w:tblCellMar>
        </w:tblPrEx>
        <w:tc>
          <w:tcPr>
            <w:tcW w:w="1400" w:type="dxa"/>
            <w:shd w:val="clear" w:color="auto" w:fill="8A6D1E"/>
            <w:tcMar>
              <w:top w:w="200" w:type="dxa"/>
              <w:left w:w="150" w:type="dxa"/>
              <w:bottom w:w="200" w:type="dxa"/>
              <w:right w:w="150" w:type="dxa"/>
            </w:tcMar>
            <w:vAlign w:val="center"/>
          </w:tcPr>
          <w:p w14:paraId="6036AC96" w14:textId="77777777" w:rsidR="008D2163" w:rsidRDefault="00CF51AD">
            <w:pPr>
              <w:jc w:val="center"/>
            </w:pPr>
            <w:r>
              <w:rPr>
                <w:rFonts w:ascii="Georgia" w:eastAsia="Georgia" w:hAnsi="Georgia" w:cs="Georgia"/>
                <w:b/>
                <w:bCs/>
                <w:color w:val="FFFFFF"/>
                <w:sz w:val="40"/>
                <w:szCs w:val="40"/>
              </w:rPr>
              <w:t>03</w:t>
            </w:r>
          </w:p>
        </w:tc>
        <w:tc>
          <w:tcPr>
            <w:tcW w:w="7950" w:type="dxa"/>
            <w:shd w:val="clear" w:color="auto" w:fill="F5EFDC"/>
            <w:tcMar>
              <w:top w:w="200" w:type="dxa"/>
              <w:left w:w="250" w:type="dxa"/>
              <w:bottom w:w="200" w:type="dxa"/>
              <w:right w:w="250" w:type="dxa"/>
            </w:tcMar>
            <w:vAlign w:val="center"/>
          </w:tcPr>
          <w:p w14:paraId="2C87E9CF" w14:textId="77777777" w:rsidR="008D2163" w:rsidRDefault="00CF51AD">
            <w:pPr>
              <w:spacing w:after="40"/>
            </w:pPr>
            <w:r>
              <w:rPr>
                <w:rFonts w:ascii="Georgia" w:eastAsia="Georgia" w:hAnsi="Georgia" w:cs="Georgia"/>
                <w:b/>
                <w:bCs/>
                <w:color w:val="8A6D1E"/>
                <w:sz w:val="26"/>
                <w:szCs w:val="26"/>
              </w:rPr>
              <w:t>RELATIONSHIP &amp; OPERATIONS</w:t>
            </w:r>
          </w:p>
          <w:p w14:paraId="75217294" w14:textId="77777777" w:rsidR="008D2163" w:rsidRDefault="00CF51AD">
            <w:r>
              <w:rPr>
                <w:rFonts w:ascii="Calibri" w:eastAsia="Calibri" w:hAnsi="Calibri" w:cs="Calibri"/>
                <w:i/>
                <w:iCs/>
                <w:color w:val="5B6367"/>
              </w:rPr>
              <w:t>Reporting cadence, communication, and lead handling</w:t>
            </w:r>
          </w:p>
        </w:tc>
      </w:tr>
    </w:tbl>
    <w:p w14:paraId="63003A46" w14:textId="77777777" w:rsidR="008D2163" w:rsidRDefault="008D2163">
      <w:pPr>
        <w:spacing w:after="120"/>
      </w:pPr>
    </w:p>
    <w:p w14:paraId="1AC8806D" w14:textId="77777777" w:rsidR="008D2163" w:rsidRDefault="00CF51AD">
      <w:pPr>
        <w:pBdr>
          <w:bottom w:val="single" w:sz="6" w:space="4" w:color="8A6D1E"/>
        </w:pBdr>
        <w:spacing w:before="260" w:after="100"/>
      </w:pPr>
      <w:r>
        <w:rPr>
          <w:rFonts w:ascii="Georgia" w:eastAsia="Georgia" w:hAnsi="Georgia" w:cs="Georgia"/>
          <w:b/>
          <w:bCs/>
          <w:color w:val="8A6D1E"/>
          <w:spacing w:val="12"/>
        </w:rPr>
        <w:t>REPORTING &amp; COMMUNICATION</w:t>
      </w:r>
    </w:p>
    <w:p w14:paraId="18F385C7" w14:textId="77777777" w:rsidR="008D2163" w:rsidRDefault="00CF51AD">
      <w:pPr>
        <w:spacing w:after="90"/>
        <w:ind w:left="360" w:hanging="260"/>
      </w:pPr>
      <w:r>
        <w:rPr>
          <w:rFonts w:ascii="Calibri" w:eastAsia="Calibri" w:hAnsi="Calibri" w:cs="Calibri"/>
          <w:b/>
          <w:bCs/>
          <w:color w:val="8A6D1E"/>
          <w:sz w:val="21"/>
          <w:szCs w:val="21"/>
        </w:rPr>
        <w:t xml:space="preserve">—  </w:t>
      </w:r>
      <w:r>
        <w:rPr>
          <w:rFonts w:ascii="Calibri" w:eastAsia="Calibri" w:hAnsi="Calibri" w:cs="Calibri"/>
          <w:color w:val="2B2B2B"/>
          <w:sz w:val="21"/>
          <w:szCs w:val="21"/>
        </w:rPr>
        <w:t>Propose a weekly meeting where Stay Booked presents live analytics: what's working, what isn't, what's being adjusted.</w:t>
      </w:r>
    </w:p>
    <w:p w14:paraId="515FF544" w14:textId="77777777" w:rsidR="008D2163" w:rsidRDefault="00CF51AD">
      <w:pPr>
        <w:spacing w:after="90"/>
        <w:ind w:left="360" w:hanging="260"/>
      </w:pPr>
      <w:r>
        <w:rPr>
          <w:rFonts w:ascii="Calibri" w:eastAsia="Calibri" w:hAnsi="Calibri" w:cs="Calibri"/>
          <w:b/>
          <w:bCs/>
          <w:color w:val="8A6D1E"/>
          <w:sz w:val="21"/>
          <w:szCs w:val="21"/>
        </w:rPr>
        <w:t xml:space="preserve">—  </w:t>
      </w:r>
      <w:r>
        <w:rPr>
          <w:rFonts w:ascii="Calibri" w:eastAsia="Calibri" w:hAnsi="Calibri" w:cs="Calibri"/>
          <w:color w:val="2B2B2B"/>
          <w:sz w:val="21"/>
          <w:szCs w:val="21"/>
        </w:rPr>
        <w:t>Confirm the communication channel for questions between meetings.</w:t>
      </w:r>
      <w:r>
        <w:rPr>
          <w:rFonts w:ascii="Calibri" w:eastAsia="Calibri" w:hAnsi="Calibri" w:cs="Calibri"/>
          <w:i/>
          <w:iCs/>
          <w:color w:val="5B6367"/>
        </w:rPr>
        <w:t xml:space="preserve">  (Client's choice of channel, but text is the recommended default.)</w:t>
      </w:r>
    </w:p>
    <w:p w14:paraId="6951009A" w14:textId="77777777" w:rsidR="008D2163" w:rsidRDefault="00CF51AD">
      <w:pPr>
        <w:spacing w:after="90"/>
        <w:ind w:left="360" w:hanging="260"/>
      </w:pPr>
      <w:r>
        <w:rPr>
          <w:rFonts w:ascii="Calibri" w:eastAsia="Calibri" w:hAnsi="Calibri" w:cs="Calibri"/>
          <w:b/>
          <w:bCs/>
          <w:color w:val="8A6D1E"/>
          <w:sz w:val="21"/>
          <w:szCs w:val="21"/>
        </w:rPr>
        <w:t xml:space="preserve">—  </w:t>
      </w:r>
      <w:r>
        <w:rPr>
          <w:rFonts w:ascii="Calibri" w:eastAsia="Calibri" w:hAnsi="Calibri" w:cs="Calibri"/>
          <w:color w:val="2B2B2B"/>
          <w:sz w:val="21"/>
          <w:szCs w:val="21"/>
        </w:rPr>
        <w:t>Assign a single point of contact on both sides.</w:t>
      </w:r>
      <w:r>
        <w:rPr>
          <w:rFonts w:ascii="Calibri" w:eastAsia="Calibri" w:hAnsi="Calibri" w:cs="Calibri"/>
          <w:i/>
          <w:iCs/>
          <w:color w:val="5B6367"/>
        </w:rPr>
        <w:t xml:space="preserve">  (Jordan Vo and Jordan Niles are the points of contact on our end.)</w:t>
      </w:r>
    </w:p>
    <w:p w14:paraId="6390F80C" w14:textId="77777777" w:rsidR="008D2163" w:rsidRDefault="00CF51AD">
      <w:pPr>
        <w:pBdr>
          <w:bottom w:val="single" w:sz="6" w:space="4" w:color="8A6D1E"/>
        </w:pBdr>
        <w:spacing w:before="260" w:after="100"/>
      </w:pPr>
      <w:r>
        <w:rPr>
          <w:rFonts w:ascii="Georgia" w:eastAsia="Georgia" w:hAnsi="Georgia" w:cs="Georgia"/>
          <w:b/>
          <w:bCs/>
          <w:color w:val="8A6D1E"/>
          <w:spacing w:val="12"/>
        </w:rPr>
        <w:t>LEAD HANDLING</w:t>
      </w:r>
    </w:p>
    <w:p w14:paraId="4B88D7F9" w14:textId="77777777" w:rsidR="008D2163" w:rsidRDefault="00CF51AD">
      <w:pPr>
        <w:spacing w:after="90"/>
        <w:ind w:left="360" w:hanging="260"/>
      </w:pPr>
      <w:r>
        <w:rPr>
          <w:rFonts w:ascii="Calibri" w:eastAsia="Calibri" w:hAnsi="Calibri" w:cs="Calibri"/>
          <w:b/>
          <w:bCs/>
          <w:color w:val="8A6D1E"/>
          <w:sz w:val="21"/>
          <w:szCs w:val="21"/>
        </w:rPr>
        <w:t xml:space="preserve">—  </w:t>
      </w:r>
      <w:r>
        <w:rPr>
          <w:rFonts w:ascii="Calibri" w:eastAsia="Calibri" w:hAnsi="Calibri" w:cs="Calibri"/>
          <w:color w:val="2B2B2B"/>
          <w:sz w:val="21"/>
          <w:szCs w:val="21"/>
        </w:rPr>
        <w:t>Ask about their current booking or intake process.</w:t>
      </w:r>
    </w:p>
    <w:p w14:paraId="5BD24FB6" w14:textId="77777777" w:rsidR="008D2163" w:rsidRDefault="00CF51AD">
      <w:pPr>
        <w:spacing w:after="90"/>
        <w:ind w:left="360" w:hanging="260"/>
      </w:pPr>
      <w:r>
        <w:rPr>
          <w:rFonts w:ascii="Calibri" w:eastAsia="Calibri" w:hAnsi="Calibri" w:cs="Calibri"/>
          <w:b/>
          <w:bCs/>
          <w:color w:val="8A6D1E"/>
          <w:sz w:val="21"/>
          <w:szCs w:val="21"/>
        </w:rPr>
        <w:t xml:space="preserve">—  </w:t>
      </w:r>
      <w:r>
        <w:rPr>
          <w:rFonts w:ascii="Calibri" w:eastAsia="Calibri" w:hAnsi="Calibri" w:cs="Calibri"/>
          <w:color w:val="2B2B2B"/>
          <w:sz w:val="21"/>
          <w:szCs w:val="21"/>
        </w:rPr>
        <w:t>Ask how fast their staff can follow up with leads.</w:t>
      </w:r>
      <w:r>
        <w:rPr>
          <w:rFonts w:ascii="Calibri" w:eastAsia="Calibri" w:hAnsi="Calibri" w:cs="Calibri"/>
          <w:i/>
          <w:iCs/>
          <w:color w:val="5B6367"/>
        </w:rPr>
        <w:t xml:space="preserve">  (Leads get an automatic AI call and text follow up within 5 minutes of coming in, then the client's staff picks up the relationship from there.)</w:t>
      </w:r>
    </w:p>
    <w:p w14:paraId="2E48D44E" w14:textId="77777777" w:rsidR="008D2163" w:rsidRDefault="00CF51AD">
      <w:pPr>
        <w:spacing w:after="90"/>
        <w:ind w:left="360" w:hanging="260"/>
      </w:pPr>
      <w:r>
        <w:rPr>
          <w:rFonts w:ascii="Calibri" w:eastAsia="Calibri" w:hAnsi="Calibri" w:cs="Calibri"/>
          <w:b/>
          <w:bCs/>
          <w:color w:val="8A6D1E"/>
          <w:sz w:val="21"/>
          <w:szCs w:val="21"/>
        </w:rPr>
        <w:t xml:space="preserve">—  </w:t>
      </w:r>
      <w:r>
        <w:rPr>
          <w:rFonts w:ascii="Calibri" w:eastAsia="Calibri" w:hAnsi="Calibri" w:cs="Calibri"/>
          <w:color w:val="2B2B2B"/>
          <w:sz w:val="21"/>
          <w:szCs w:val="21"/>
        </w:rPr>
        <w:t>Ask how they want leads delivered: direct to staff, shared inbox, or booking system.</w:t>
      </w:r>
    </w:p>
    <w:p w14:paraId="3B059059" w14:textId="77777777" w:rsidR="008D2163" w:rsidRDefault="00CF51AD">
      <w:pPr>
        <w:pBdr>
          <w:bottom w:val="single" w:sz="6" w:space="4" w:color="8A6D1E"/>
        </w:pBdr>
        <w:spacing w:before="260" w:after="100"/>
      </w:pPr>
      <w:r>
        <w:rPr>
          <w:rFonts w:ascii="Georgia" w:eastAsia="Georgia" w:hAnsi="Georgia" w:cs="Georgia"/>
          <w:b/>
          <w:bCs/>
          <w:color w:val="8A6D1E"/>
          <w:spacing w:val="12"/>
        </w:rPr>
        <w:t>RELATIONSHIP BUILDING</w:t>
      </w:r>
    </w:p>
    <w:p w14:paraId="5F7F8244" w14:textId="77777777" w:rsidR="008D2163" w:rsidRDefault="00CF51AD">
      <w:pPr>
        <w:spacing w:after="90"/>
        <w:ind w:left="360" w:hanging="260"/>
      </w:pPr>
      <w:r>
        <w:rPr>
          <w:rFonts w:ascii="Calibri" w:eastAsia="Calibri" w:hAnsi="Calibri" w:cs="Calibri"/>
          <w:b/>
          <w:bCs/>
          <w:color w:val="8A6D1E"/>
          <w:sz w:val="21"/>
          <w:szCs w:val="21"/>
        </w:rPr>
        <w:t xml:space="preserve">—  </w:t>
      </w:r>
      <w:r>
        <w:rPr>
          <w:rFonts w:ascii="Calibri" w:eastAsia="Calibri" w:hAnsi="Calibri" w:cs="Calibri"/>
          <w:color w:val="2B2B2B"/>
          <w:sz w:val="21"/>
          <w:szCs w:val="21"/>
        </w:rPr>
        <w:t>Gauge interest in a testimonial or case study once results come in.</w:t>
      </w:r>
    </w:p>
    <w:p w14:paraId="39B56609" w14:textId="77777777" w:rsidR="008D2163" w:rsidRDefault="00CF51AD">
      <w:pPr>
        <w:spacing w:after="90"/>
        <w:ind w:left="360" w:hanging="260"/>
      </w:pPr>
      <w:r>
        <w:rPr>
          <w:rFonts w:ascii="Calibri" w:eastAsia="Calibri" w:hAnsi="Calibri" w:cs="Calibri"/>
          <w:b/>
          <w:bCs/>
          <w:color w:val="8A6D1E"/>
          <w:sz w:val="21"/>
          <w:szCs w:val="21"/>
        </w:rPr>
        <w:t xml:space="preserve">—  </w:t>
      </w:r>
      <w:r>
        <w:rPr>
          <w:rFonts w:ascii="Calibri" w:eastAsia="Calibri" w:hAnsi="Calibri" w:cs="Calibri"/>
          <w:color w:val="2B2B2B"/>
          <w:sz w:val="21"/>
          <w:szCs w:val="21"/>
        </w:rPr>
        <w:t>Ask about past bad experiences with other agencies, so mistakes aren't repeated.</w:t>
      </w:r>
    </w:p>
    <w:sectPr w:rsidR="008D2163">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F76456"/>
    <w:multiLevelType w:val="hybridMultilevel"/>
    <w:tmpl w:val="FFFFFFFF"/>
    <w:lvl w:ilvl="0" w:tplc="F142F64A">
      <w:start w:val="1"/>
      <w:numFmt w:val="bullet"/>
      <w:lvlText w:val="●"/>
      <w:lvlJc w:val="left"/>
      <w:pPr>
        <w:ind w:left="720" w:hanging="360"/>
      </w:pPr>
    </w:lvl>
    <w:lvl w:ilvl="1" w:tplc="3424B1E6">
      <w:start w:val="1"/>
      <w:numFmt w:val="bullet"/>
      <w:lvlText w:val="○"/>
      <w:lvlJc w:val="left"/>
      <w:pPr>
        <w:ind w:left="1440" w:hanging="360"/>
      </w:pPr>
    </w:lvl>
    <w:lvl w:ilvl="2" w:tplc="65EEE130">
      <w:start w:val="1"/>
      <w:numFmt w:val="bullet"/>
      <w:lvlText w:val="■"/>
      <w:lvlJc w:val="left"/>
      <w:pPr>
        <w:ind w:left="2160" w:hanging="360"/>
      </w:pPr>
    </w:lvl>
    <w:lvl w:ilvl="3" w:tplc="AF000E70">
      <w:start w:val="1"/>
      <w:numFmt w:val="bullet"/>
      <w:lvlText w:val="●"/>
      <w:lvlJc w:val="left"/>
      <w:pPr>
        <w:ind w:left="2880" w:hanging="360"/>
      </w:pPr>
    </w:lvl>
    <w:lvl w:ilvl="4" w:tplc="43D24652">
      <w:start w:val="1"/>
      <w:numFmt w:val="bullet"/>
      <w:lvlText w:val="○"/>
      <w:lvlJc w:val="left"/>
      <w:pPr>
        <w:ind w:left="3600" w:hanging="360"/>
      </w:pPr>
    </w:lvl>
    <w:lvl w:ilvl="5" w:tplc="2A241784">
      <w:start w:val="1"/>
      <w:numFmt w:val="bullet"/>
      <w:lvlText w:val="■"/>
      <w:lvlJc w:val="left"/>
      <w:pPr>
        <w:ind w:left="4320" w:hanging="360"/>
      </w:pPr>
    </w:lvl>
    <w:lvl w:ilvl="6" w:tplc="700AB940">
      <w:start w:val="1"/>
      <w:numFmt w:val="bullet"/>
      <w:lvlText w:val="●"/>
      <w:lvlJc w:val="left"/>
      <w:pPr>
        <w:ind w:left="5040" w:hanging="360"/>
      </w:pPr>
    </w:lvl>
    <w:lvl w:ilvl="7" w:tplc="73F4D41C">
      <w:start w:val="1"/>
      <w:numFmt w:val="bullet"/>
      <w:lvlText w:val="●"/>
      <w:lvlJc w:val="left"/>
      <w:pPr>
        <w:ind w:left="5760" w:hanging="360"/>
      </w:pPr>
    </w:lvl>
    <w:lvl w:ilvl="8" w:tplc="EF38C3EC">
      <w:start w:val="1"/>
      <w:numFmt w:val="bullet"/>
      <w:lvlText w:val="●"/>
      <w:lvlJc w:val="left"/>
      <w:pPr>
        <w:ind w:left="6480" w:hanging="360"/>
      </w:pPr>
    </w:lvl>
  </w:abstractNum>
  <w:num w:numId="1" w16cid:durableId="82432328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163"/>
    <w:rsid w:val="005236C3"/>
    <w:rsid w:val="0078483D"/>
    <w:rsid w:val="008D2163"/>
    <w:rsid w:val="00CF5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AA2EDC"/>
  <w15:docId w15:val="{8D2785C0-B23F-B041-97D0-518BB266C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769</Words>
  <Characters>4388</Characters>
  <Application>Microsoft Office Word</Application>
  <DocSecurity>0</DocSecurity>
  <Lines>36</Lines>
  <Paragraphs>10</Paragraphs>
  <ScaleCrop>false</ScaleCrop>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Trevor Mayberry</cp:lastModifiedBy>
  <cp:revision>2</cp:revision>
  <dcterms:created xsi:type="dcterms:W3CDTF">2026-08-22T03:35:00Z</dcterms:created>
  <dcterms:modified xsi:type="dcterms:W3CDTF">2026-08-22T03:35:00Z</dcterms:modified>
</cp:coreProperties>
</file>