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Prácticas GoF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Prácticas patrones creacionales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Tenemos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Servicio de autenticación que recibe un objeto de tipo Usuario, el cual contiene un nombre y una clave, y su único método devuelve un valor booleano: cierto, usuario autenticado, falso, usuario no autenticado. Implementar mediante el patrón de instancia única (singleton)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Tenemos un sistema que devuelve empleados fijos o empleados a tiempo parcial nuevos según se le solicite, de modo que dicho sistema pueda rellenar el objeto devuelto con datos. Implementar mediante el patrón método de factoría (Factory method)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Prácticas patrones estructurales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Una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aplicación web recibe desde una página html una petición GET acabada en “xyz”, esto es, un nombre lógico. Por ejemplo “cliente.xyz”. Una servlet analiza la petición y devuelve en respuesta una página JSP física. Implementar mediante un patrón modelo, vista, controlador (MVC)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Tenemos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cliente que autentica al acceso a sus sistemas empleando instancias de la clase Empleado, en la cual, entre otros valores, hay un nombre de usuario y una clave. Queremos reutilizar nuestro Servicio de Autenticación sin modificar su código. Resolverlo mediante un patrón adaptador (Object Adapter)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Dado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sistema gráfico existente capaz de dibujar componentes, queremos tener un botón cuyo texto aparezca siempre  justificado a la derecha, pero no deseamos cambiar el código de la clase Botón existente, ni emplear la herencia. Implementar mediante un patrón estético (Decorator)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jc w:val="both"/>
        <w:rPr>
          <w:rFonts w:ascii="Verdana" w:cs="Verdana" w:eastAsia="Verdana" w:hAnsi="Verdana"/>
          <w:color w:val="0000ff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color w:val="0000ff"/>
          <w:sz w:val="24"/>
          <w:szCs w:val="24"/>
          <w:rtl w:val="0"/>
        </w:rPr>
        <w:t xml:space="preserve">Prácticas patrones de comportamiento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Queremos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validar los objetos de tipo Empleado de varias formas complejas en secuencia, y no queremos introducir todo el código necesario en una sola clase. El sistema de validación debe lanzar una excepción en cuanto una validación falle.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Implementar mediante una cadena de responsabilidad (Chain of Responsability)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Tenemos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un sistema de gestión de archivos que sabe copiar un archivo, borrarlo y decirnos si es un directorio. El sistema espera recibir las siguientes órdenes por consola: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copiar nombre_archivo nuevo_nombre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borrar nombre_archivo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360" w:lineRule="auto"/>
        <w:ind w:left="216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esdirectorio nombre_archivo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  <w:jc w:val="both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Implementar mediante un patrón orden (command)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36"/>
          <w:szCs w:val="36"/>
          <w:rtl w:val="0"/>
        </w:rPr>
        <w:t xml:space="preserve">En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el sistema anterior, cada vez que se ejecuta una orden se genera un evento que incluye información de contexto. Queremos poder recoger ese evento y procesarlo de diversas formas, contemplando la posibilidad de necesidades futuras, y sin que dichas necesidades afecten al código existente. Implementar mediante un patrón Observador (Observer)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