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F8D44" w14:textId="77777777" w:rsidR="005241C2" w:rsidRDefault="005241C2">
      <w:pPr>
        <w:rPr>
          <w:b/>
          <w:bCs/>
        </w:rPr>
      </w:pPr>
    </w:p>
    <w:p w14:paraId="7C65F699" w14:textId="1BE5E665" w:rsidR="00EF2178" w:rsidRDefault="000E4E7B" w:rsidP="0007753A">
      <w:pPr>
        <w:pStyle w:val="Heading1"/>
        <w:jc w:val="center"/>
      </w:pPr>
      <w:r>
        <w:t>STUDY</w:t>
      </w:r>
      <w:r w:rsidR="00FF76BD">
        <w:t xml:space="preserve"> OBJECTIVES</w:t>
      </w:r>
    </w:p>
    <w:p w14:paraId="0327A0B7" w14:textId="6819A4A9" w:rsidR="00F422CE" w:rsidRDefault="00F422CE" w:rsidP="00F422CE">
      <w:pPr>
        <w:spacing w:after="0" w:line="240" w:lineRule="auto"/>
      </w:pPr>
      <w:r>
        <w:t>H</w:t>
      </w:r>
      <w:r w:rsidRPr="00C37D4D">
        <w:t>istorically</w:t>
      </w:r>
      <w:r>
        <w:t>,</w:t>
      </w:r>
      <w:r w:rsidRPr="00C37D4D">
        <w:t xml:space="preserve"> </w:t>
      </w:r>
      <w:r>
        <w:t>d</w:t>
      </w:r>
      <w:r w:rsidRPr="00C37D4D">
        <w:t>etailed occupation ha</w:t>
      </w:r>
      <w:r>
        <w:t>s</w:t>
      </w:r>
      <w:r w:rsidRPr="00C37D4D">
        <w:t xml:space="preserve"> not been systematically collected </w:t>
      </w:r>
      <w:r w:rsidR="00393BAA">
        <w:t xml:space="preserve">and reported </w:t>
      </w:r>
      <w:r w:rsidRPr="00C37D4D">
        <w:t xml:space="preserve">by </w:t>
      </w:r>
      <w:r>
        <w:t xml:space="preserve">any known </w:t>
      </w:r>
      <w:r w:rsidR="00393BAA">
        <w:t>nation</w:t>
      </w:r>
      <w:r w:rsidR="00206A24">
        <w:t>wide</w:t>
      </w:r>
      <w:r w:rsidR="00393BAA">
        <w:t xml:space="preserve"> </w:t>
      </w:r>
      <w:r>
        <w:t xml:space="preserve">central </w:t>
      </w:r>
      <w:r w:rsidRPr="00C37D4D">
        <w:t>cancer registry</w:t>
      </w:r>
      <w:r>
        <w:t xml:space="preserve">, including those in the </w:t>
      </w:r>
      <w:r w:rsidR="00206A24" w:rsidRPr="00C37D4D">
        <w:t>United States</w:t>
      </w:r>
      <w:r w:rsidR="00206A24">
        <w:t xml:space="preserve"> (</w:t>
      </w:r>
      <w:r>
        <w:t>US</w:t>
      </w:r>
      <w:r w:rsidR="00206A24">
        <w:t>)</w:t>
      </w:r>
      <w:r w:rsidRPr="00C37D4D">
        <w:t xml:space="preserve">. As of 2020, </w:t>
      </w:r>
      <w:r>
        <w:t xml:space="preserve">detailed </w:t>
      </w:r>
      <w:r w:rsidRPr="00C37D4D">
        <w:t>occupation has been systematically recorded and made available in US death records, providing an unprecedented opportunity to investigate cancer mortality by</w:t>
      </w:r>
      <w:r w:rsidRPr="00C37D4D">
        <w:rPr>
          <w:b/>
          <w:bCs/>
        </w:rPr>
        <w:t xml:space="preserve"> </w:t>
      </w:r>
      <w:r w:rsidRPr="00C37D4D">
        <w:t>occupation</w:t>
      </w:r>
      <w:r w:rsidRPr="00C37D4D">
        <w:rPr>
          <w:b/>
          <w:bCs/>
        </w:rPr>
        <w:t>.</w:t>
      </w:r>
      <w:r w:rsidRPr="00C37D4D">
        <w:rPr>
          <w:b/>
          <w:bCs/>
        </w:rPr>
        <w:fldChar w:fldCharType="begin"/>
      </w:r>
      <w:r>
        <w:rPr>
          <w:b/>
          <w:bCs/>
        </w:rPr>
        <w:instrText xml:space="preserve"> ADDIN EN.CITE &lt;EndNote&gt;&lt;Cite&gt;&lt;Year&gt;2024&lt;/Year&gt;&lt;RecNum&gt;5382&lt;/RecNum&gt;&lt;DisplayText&gt;&lt;style face="superscript"&gt;1&lt;/style&gt;&lt;/DisplayText&gt;&lt;record&gt;&lt;rec-number&gt;5382&lt;/rec-number&gt;&lt;foreign-keys&gt;&lt;key app="EN" db-id="wtwx02spurzfa5edvs55detsvsrfdvt9tepv" timestamp="1738698521"&gt;5382&lt;/key&gt;&lt;/foreign-keys&gt;&lt;ref-type name="Web Page"&gt;12&lt;/ref-type&gt;&lt;contributors&gt;&lt;/contributors&gt;&lt;titles&gt;&lt;title&gt;National Center for Health Statistics. Vital Statistics Online Data Portal&lt;/title&gt;&lt;/titles&gt;&lt;volume&gt;2025&lt;/volume&gt;&lt;number&gt;February 4&lt;/number&gt;&lt;dates&gt;&lt;year&gt;2024&lt;/year&gt;&lt;/dates&gt;&lt;urls&gt;&lt;related-urls&gt;&lt;url&gt;https://www.cdc.gov/nchs/data_access/vitalstatsonline.htm#Mortality_Multiple&lt;/url&gt;&lt;/related-urls&gt;&lt;/urls&gt;&lt;/record&gt;&lt;/Cite&gt;&lt;/EndNote&gt;</w:instrText>
      </w:r>
      <w:r w:rsidRPr="00C37D4D">
        <w:rPr>
          <w:b/>
          <w:bCs/>
        </w:rPr>
        <w:fldChar w:fldCharType="separate"/>
      </w:r>
      <w:r w:rsidRPr="00F422CE">
        <w:rPr>
          <w:b/>
          <w:bCs/>
          <w:noProof/>
          <w:vertAlign w:val="superscript"/>
        </w:rPr>
        <w:t>1</w:t>
      </w:r>
      <w:r w:rsidRPr="00C37D4D">
        <w:rPr>
          <w:b/>
          <w:bCs/>
        </w:rPr>
        <w:fldChar w:fldCharType="end"/>
      </w:r>
      <w:r w:rsidRPr="00C37D4D">
        <w:rPr>
          <w:b/>
          <w:bCs/>
        </w:rPr>
        <w:t xml:space="preserve"> </w:t>
      </w:r>
      <w:r w:rsidRPr="00C37D4D">
        <w:t xml:space="preserve">The purpose of this study is to describe cancer mortality </w:t>
      </w:r>
      <w:r>
        <w:t xml:space="preserve">rates </w:t>
      </w:r>
      <w:r w:rsidRPr="00C37D4D">
        <w:t xml:space="preserve">in the </w:t>
      </w:r>
      <w:r w:rsidR="00206A24">
        <w:t>US</w:t>
      </w:r>
      <w:r w:rsidR="00206A24" w:rsidRPr="00C37D4D">
        <w:t xml:space="preserve"> </w:t>
      </w:r>
      <w:r w:rsidRPr="00C37D4D">
        <w:t>by occupation, sex, and cancer site.</w:t>
      </w:r>
    </w:p>
    <w:p w14:paraId="68173E78" w14:textId="77777777" w:rsidR="00861626" w:rsidRPr="00861626" w:rsidRDefault="00861626">
      <w:pPr>
        <w:rPr>
          <w:i/>
          <w:iCs/>
        </w:rPr>
      </w:pPr>
    </w:p>
    <w:p w14:paraId="31BDA368" w14:textId="562FC4B9" w:rsidR="0070045D" w:rsidRPr="00B54E33" w:rsidRDefault="00D1635D" w:rsidP="00ED23F4">
      <w:pPr>
        <w:pStyle w:val="Heading1"/>
        <w:jc w:val="center"/>
      </w:pPr>
      <w:r w:rsidRPr="00E14E49">
        <w:t>METHODS</w:t>
      </w:r>
    </w:p>
    <w:p w14:paraId="3A1D8952" w14:textId="53713A81" w:rsidR="0070045D" w:rsidRPr="00E14E49" w:rsidRDefault="0070045D" w:rsidP="00FC3842">
      <w:pPr>
        <w:pStyle w:val="Heading2"/>
      </w:pPr>
      <w:r w:rsidRPr="0070045D">
        <w:t>Study design and data sources</w:t>
      </w:r>
    </w:p>
    <w:p w14:paraId="6FD6CCD4" w14:textId="727875E4" w:rsidR="006B5DCA" w:rsidRDefault="00234BD4" w:rsidP="00C047C4">
      <w:r>
        <w:t xml:space="preserve">The cross-sectional design </w:t>
      </w:r>
      <w:r w:rsidR="0073111A">
        <w:t>enables estimation of average annual, age-adjusted</w:t>
      </w:r>
      <w:r>
        <w:t xml:space="preserve"> </w:t>
      </w:r>
      <w:r w:rsidR="00811382">
        <w:t xml:space="preserve">cancer mortality </w:t>
      </w:r>
      <w:r w:rsidR="0073111A">
        <w:t>rates by</w:t>
      </w:r>
      <w:r w:rsidR="003103D6">
        <w:t xml:space="preserve"> occupation and s</w:t>
      </w:r>
      <w:r w:rsidR="005D7F1F">
        <w:t xml:space="preserve">ex </w:t>
      </w:r>
      <w:r w:rsidR="0073111A">
        <w:t xml:space="preserve">for deaths occurring </w:t>
      </w:r>
      <w:r w:rsidR="00811382">
        <w:t>2020</w:t>
      </w:r>
      <w:r w:rsidR="00393BAA">
        <w:t xml:space="preserve"> through</w:t>
      </w:r>
      <w:r w:rsidR="00811382">
        <w:t xml:space="preserve"> 202</w:t>
      </w:r>
      <w:r w:rsidR="00393BAA">
        <w:t>3</w:t>
      </w:r>
      <w:r w:rsidR="0073111A">
        <w:t xml:space="preserve"> among working-age adults; those 20 to 64 years old at death</w:t>
      </w:r>
      <w:r w:rsidR="00811382">
        <w:t xml:space="preserve">. </w:t>
      </w:r>
      <w:r w:rsidR="0046578A">
        <w:t xml:space="preserve">We </w:t>
      </w:r>
      <w:r w:rsidR="00331DE4">
        <w:t xml:space="preserve">will </w:t>
      </w:r>
      <w:r w:rsidR="0046578A">
        <w:t>calculate</w:t>
      </w:r>
      <w:r w:rsidR="006A5DB7">
        <w:t xml:space="preserve"> mortality rate</w:t>
      </w:r>
      <w:r w:rsidR="0046578A">
        <w:t>s</w:t>
      </w:r>
      <w:r w:rsidR="006A5DB7">
        <w:t xml:space="preserve"> </w:t>
      </w:r>
      <w:r w:rsidR="0046578A">
        <w:t>using</w:t>
      </w:r>
      <w:r w:rsidR="006A5DB7">
        <w:t xml:space="preserve"> deaths </w:t>
      </w:r>
      <w:r w:rsidR="0046578A">
        <w:t xml:space="preserve">reported in </w:t>
      </w:r>
      <w:r w:rsidR="00D90BB2">
        <w:t>National Center for Health Statistics (NCHS)</w:t>
      </w:r>
      <w:r w:rsidR="00CB0A39">
        <w:t xml:space="preserve"> data and population at risk from </w:t>
      </w:r>
      <w:r w:rsidR="00D90BB2">
        <w:t>American Community Survey (ACS)</w:t>
      </w:r>
      <w:r w:rsidR="0046578A">
        <w:t xml:space="preserve"> historical data</w:t>
      </w:r>
      <w:r w:rsidR="00C004DF">
        <w:t xml:space="preserve"> gathered from </w:t>
      </w:r>
      <w:r w:rsidR="006A0BDF" w:rsidRPr="006A0BDF">
        <w:t>the Integrated Public Use Microdata Series system</w:t>
      </w:r>
      <w:r w:rsidR="006A0BDF">
        <w:t xml:space="preserve"> (IPUMS)</w:t>
      </w:r>
      <w:r w:rsidR="00CB0A39">
        <w:t xml:space="preserve">. </w:t>
      </w:r>
    </w:p>
    <w:p w14:paraId="6087A646" w14:textId="561DA68F" w:rsidR="001B5B3C" w:rsidRPr="001B5B3C" w:rsidRDefault="001B5B3C" w:rsidP="003717FB">
      <w:pPr>
        <w:pStyle w:val="Heading3"/>
      </w:pPr>
      <w:r w:rsidRPr="001B5B3C">
        <w:t xml:space="preserve">Numerator </w:t>
      </w:r>
    </w:p>
    <w:p w14:paraId="7D0185D3" w14:textId="41A44A1C" w:rsidR="005E42D1" w:rsidRDefault="00C047C4" w:rsidP="00BC0179">
      <w:r>
        <w:t xml:space="preserve">Cancer deaths </w:t>
      </w:r>
      <w:r w:rsidR="00ED7C8F">
        <w:t>will be obtained</w:t>
      </w:r>
      <w:r>
        <w:t xml:space="preserve"> from the </w:t>
      </w:r>
      <w:r w:rsidR="00EA185E">
        <w:t>NCHS</w:t>
      </w:r>
      <w:r>
        <w:t xml:space="preserve"> and </w:t>
      </w:r>
      <w:r w:rsidRPr="00ED1F42">
        <w:t>National Vital Statistics System</w:t>
      </w:r>
      <w:r>
        <w:t>’s</w:t>
      </w:r>
      <w:r w:rsidRPr="00ED1F42">
        <w:t xml:space="preserve"> (NVSS) public use mortality data</w:t>
      </w:r>
      <w:r w:rsidR="00FB1A13">
        <w:t>,</w:t>
      </w:r>
      <w:r w:rsidR="00FB1A13" w:rsidRPr="00FB1A13">
        <w:t xml:space="preserve"> </w:t>
      </w:r>
      <w:r w:rsidR="00FB1A13">
        <w:t xml:space="preserve">the </w:t>
      </w:r>
      <w:r w:rsidR="006E6D78">
        <w:t>Mortality Multiple Causes of Death (MMCD</w:t>
      </w:r>
      <w:r w:rsidR="00E93A50">
        <w:t>)</w:t>
      </w:r>
      <w:r w:rsidR="00FB1A13">
        <w:t>,</w:t>
      </w:r>
      <w:r>
        <w:t xml:space="preserve"> from 2020 to 202</w:t>
      </w:r>
      <w:r w:rsidR="00C260F6">
        <w:t>3</w:t>
      </w:r>
      <w:r>
        <w:t xml:space="preserve">. Documentation for </w:t>
      </w:r>
      <w:r w:rsidR="00393BAA">
        <w:t>recording</w:t>
      </w:r>
      <w:r>
        <w:t xml:space="preserve"> occupation information </w:t>
      </w:r>
      <w:r w:rsidR="00393BAA">
        <w:t xml:space="preserve">in </w:t>
      </w:r>
      <w:r>
        <w:t>the mortality file is</w:t>
      </w:r>
      <w:r w:rsidR="00672FC0">
        <w:t xml:space="preserve"> available</w:t>
      </w:r>
      <w:r w:rsidR="00331DE4">
        <w:t>.</w:t>
      </w:r>
      <w:r w:rsidR="00717599">
        <w:fldChar w:fldCharType="begin"/>
      </w:r>
      <w:r w:rsidR="00806AA3">
        <w:instrText xml:space="preserve"> ADDIN EN.CITE &lt;EndNote&gt;&lt;Cite&gt;&lt;Author&gt;Steege&lt;/Author&gt;&lt;RecNum&gt;5408&lt;/RecNum&gt;&lt;DisplayText&gt;&lt;style face="superscript"&gt;2&lt;/style&gt;&lt;/DisplayText&gt;&lt;record&gt;&lt;rec-number&gt;5408&lt;/rec-number&gt;&lt;foreign-keys&gt;&lt;key app="EN" db-id="wtwx02spurzfa5edvs55detsvsrfdvt9tepv" timestamp="1740416294"&gt;5408&lt;/key&gt;&lt;/foreign-keys&gt;&lt;ref-type name="Generic"&gt;13&lt;/ref-type&gt;&lt;contributors&gt;&lt;authors&gt;&lt;author&gt;Steege, Andrea&lt;/author&gt;&lt;author&gt;Billock, Rachael&lt;/author&gt;&lt;author&gt;Miniño, Arialdi&lt;/author&gt;&lt;/authors&gt;&lt;/contributors&gt;&lt;titles&gt;&lt;title&gt;Industry and Occupation (I&amp;amp;O) data as applicable to mortality vital statistics, 2020: History, Background, and Control Tables&lt;/title&gt;&lt;/titles&gt;&lt;dates&gt;&lt;/dates&gt;&lt;publisher&gt;CDC&lt;/publisher&gt;&lt;urls&gt;&lt;related-urls&gt;&lt;url&gt;https://www.cdc.gov/nchs/data/dvs/industry-and-occupation-data-mortality-2020.pdf&lt;/url&gt;&lt;/related-urls&gt;&lt;/urls&gt;&lt;language&gt;English&lt;/language&gt;&lt;/record&gt;&lt;/Cite&gt;&lt;/EndNote&gt;</w:instrText>
      </w:r>
      <w:r w:rsidR="00717599">
        <w:fldChar w:fldCharType="separate"/>
      </w:r>
      <w:r w:rsidR="00F422CE" w:rsidRPr="00F422CE">
        <w:rPr>
          <w:noProof/>
          <w:vertAlign w:val="superscript"/>
        </w:rPr>
        <w:t>2</w:t>
      </w:r>
      <w:r w:rsidR="00717599">
        <w:fldChar w:fldCharType="end"/>
      </w:r>
      <w:r w:rsidR="00ED7C8F">
        <w:t xml:space="preserve"> </w:t>
      </w:r>
    </w:p>
    <w:p w14:paraId="32179B60" w14:textId="77777777" w:rsidR="005E42D1" w:rsidRPr="005E42D1" w:rsidRDefault="005E42D1" w:rsidP="00BC0179">
      <w:pPr>
        <w:rPr>
          <w:b/>
          <w:bCs/>
        </w:rPr>
      </w:pPr>
      <w:r w:rsidRPr="005E42D1">
        <w:rPr>
          <w:b/>
          <w:bCs/>
        </w:rPr>
        <w:t>Occupation</w:t>
      </w:r>
    </w:p>
    <w:p w14:paraId="67E68F71" w14:textId="6F1889E5" w:rsidR="00051B74" w:rsidRDefault="0010370A" w:rsidP="00BC0179">
      <w:r>
        <w:t xml:space="preserve">Decedent occupation was coded using different schemes based on year of death; 2018 Census Occupation codes among 2023 deaths, and 2010 Census Occupation codes among 2020-2022 deaths. </w:t>
      </w:r>
      <w:r w:rsidR="0093401E">
        <w:t>To achieve compatibility between occupation code</w:t>
      </w:r>
      <w:r>
        <w:t>s</w:t>
      </w:r>
      <w:r w:rsidR="0093401E">
        <w:t xml:space="preserve"> </w:t>
      </w:r>
      <w:r>
        <w:t xml:space="preserve">among </w:t>
      </w:r>
      <w:r w:rsidR="0093401E">
        <w:t xml:space="preserve"> </w:t>
      </w:r>
      <w:r w:rsidR="00E338CB">
        <w:t xml:space="preserve">2023 </w:t>
      </w:r>
      <w:r>
        <w:t xml:space="preserve">and 2020-2022 </w:t>
      </w:r>
      <w:r w:rsidR="00E338CB">
        <w:t xml:space="preserve">deaths </w:t>
      </w:r>
      <w:r w:rsidR="00EA6328">
        <w:fldChar w:fldCharType="begin"/>
      </w:r>
      <w:r w:rsidR="00EA6328">
        <w:instrText xml:space="preserve"> ADDIN EN.CITE &lt;EndNote&gt;&lt;Cite&gt;&lt;RecNum&gt;252&lt;/RecNum&gt;&lt;DisplayText&gt;&lt;style face="superscript"&gt;3&lt;/style&gt;&lt;/DisplayText&gt;&lt;record&gt;&lt;rec-number&gt;252&lt;/rec-number&gt;&lt;foreign-keys&gt;&lt;key app="EN" db-id="rw2rpsr2bvrwe5etfelxw998p0z5dxrfa929" timestamp="1743618333"&gt;252&lt;/key&gt;&lt;/foreign-keys&gt;&lt;ref-type name="Web Page"&gt;12&lt;/ref-type&gt;&lt;contributors&gt;&lt;/contributors&gt;&lt;titles&gt;&lt;title&gt;Mortality Multiple Cause-of-Death&lt;/title&gt;&lt;secondary-title&gt;Public Use Data File Documentation&lt;/secondary-title&gt;&lt;/titles&gt;&lt;volume&gt;2025&lt;/volume&gt;&lt;dates&gt;&lt;/dates&gt;&lt;publisher&gt;National Center for Health Statistics&lt;/publisher&gt;&lt;urls&gt;&lt;related-urls&gt;&lt;url&gt;https://www.cdc.gov/nchs/nvss/mortality_public_use_data.htm&lt;/url&gt;&lt;/related-urls&gt;&lt;/urls&gt;&lt;/record&gt;&lt;/Cite&gt;&lt;/EndNote&gt;</w:instrText>
      </w:r>
      <w:r w:rsidR="00EA6328">
        <w:fldChar w:fldCharType="separate"/>
      </w:r>
      <w:r w:rsidR="00EA6328" w:rsidRPr="00EA6328">
        <w:rPr>
          <w:noProof/>
          <w:vertAlign w:val="superscript"/>
        </w:rPr>
        <w:t>3</w:t>
      </w:r>
      <w:r w:rsidR="00EA6328">
        <w:fldChar w:fldCharType="end"/>
      </w:r>
      <w:r w:rsidR="0093401E">
        <w:t xml:space="preserve"> </w:t>
      </w:r>
      <w:r w:rsidR="00A30E02">
        <w:t xml:space="preserve">several </w:t>
      </w:r>
      <w:r w:rsidR="00C17215">
        <w:t xml:space="preserve">occupation </w:t>
      </w:r>
      <w:r w:rsidR="00A30E02">
        <w:t xml:space="preserve">codes </w:t>
      </w:r>
      <w:r w:rsidR="009F6599">
        <w:t>will be</w:t>
      </w:r>
      <w:r w:rsidR="00A30E02">
        <w:t xml:space="preserve"> re-coded (combined or split) based on the 2018-2010 crosswalk</w:t>
      </w:r>
      <w:r w:rsidR="00616345">
        <w:fldChar w:fldCharType="begin"/>
      </w:r>
      <w:r w:rsidR="00806AA3">
        <w:instrText xml:space="preserve"> ADDIN EN.CITE &lt;EndNote&gt;&lt;Cite ExcludeAuth="1" ExcludeYear="1"&gt;&lt;RecNum&gt;251&lt;/RecNum&gt;&lt;DisplayText&gt;&lt;style face="superscript"&gt;4&lt;/style&gt;&lt;/DisplayText&gt;&lt;record&gt;&lt;rec-number&gt;251&lt;/rec-number&gt;&lt;foreign-keys&gt;&lt;key app="EN" db-id="rw2rpsr2bvrwe5etfelxw998p0z5dxrfa929" timestamp="1743606879"&gt;251&lt;/key&gt;&lt;/foreign-keys&gt;&lt;ref-type name="Web Page"&gt;12&lt;/ref-type&gt;&lt;contributors&gt;&lt;/contributors&gt;&lt;titles&gt;&lt;title&gt;2018 Census Occupation Code List with Crosswalk&lt;/title&gt;&lt;secondary-title&gt;Industry and Occupation Code Lists &amp;amp; Crosswalks&lt;/secondary-title&gt;&lt;/titles&gt;&lt;dates&gt;&lt;/dates&gt;&lt;publisher&gt;United States Census Bureau &lt;/publisher&gt;&lt;urls&gt;&lt;related-urls&gt;&lt;url&gt;https://www.census.gov/topics/employment/industry-occupation/guidance/code-lists.html&lt;/url&gt;&lt;/related-urls&gt;&lt;/urls&gt;&lt;/record&gt;&lt;/Cite&gt;&lt;/EndNote&gt;</w:instrText>
      </w:r>
      <w:r w:rsidR="00616345">
        <w:fldChar w:fldCharType="separate"/>
      </w:r>
      <w:r w:rsidR="00806AA3" w:rsidRPr="00806AA3">
        <w:rPr>
          <w:noProof/>
          <w:vertAlign w:val="superscript"/>
        </w:rPr>
        <w:t>4</w:t>
      </w:r>
      <w:r w:rsidR="00616345">
        <w:fldChar w:fldCharType="end"/>
      </w:r>
      <w:r w:rsidR="00A30E02">
        <w:t xml:space="preserve"> provided by </w:t>
      </w:r>
      <w:r w:rsidR="009955C1">
        <w:t>the Census Bureau</w:t>
      </w:r>
      <w:r w:rsidR="00A30E02">
        <w:t xml:space="preserve">. </w:t>
      </w:r>
      <w:r w:rsidR="00C004DF">
        <w:t xml:space="preserve">Those occupations that combined </w:t>
      </w:r>
      <w:r w:rsidR="009112F5">
        <w:t>two or more</w:t>
      </w:r>
      <w:r w:rsidR="00C004DF">
        <w:t xml:space="preserve"> 2010 Census Occupation codes into new and fewer 2018 Census Occupation Codes will be assigned relative percent weights (e.g., instead of 1 death among 1 occupation in 2023, a fraction of a death among multiple occupations in 2023) based on the number of employed individuals on the most recent year that all the 2010 codes were available within population denominator data from IPUMS-ACS (</w:t>
      </w:r>
      <w:r w:rsidR="00C004DF">
        <w:fldChar w:fldCharType="begin"/>
      </w:r>
      <w:r w:rsidR="00C004DF">
        <w:instrText xml:space="preserve"> REF _Ref182833773 \h </w:instrText>
      </w:r>
      <w:r w:rsidR="00C004DF">
        <w:fldChar w:fldCharType="separate"/>
      </w:r>
      <w:r w:rsidR="00C004DF">
        <w:t xml:space="preserve">Appendix </w:t>
      </w:r>
      <w:r w:rsidR="00C004DF">
        <w:rPr>
          <w:noProof/>
        </w:rPr>
        <w:t>1</w:t>
      </w:r>
      <w:r w:rsidR="00C004DF">
        <w:fldChar w:fldCharType="end"/>
      </w:r>
      <w:r w:rsidR="00C004DF">
        <w:t>, part 1)</w:t>
      </w:r>
      <w:r w:rsidR="009112F5">
        <w:t xml:space="preserve">. </w:t>
      </w:r>
      <w:r w:rsidR="00C004DF">
        <w:t>S</w:t>
      </w:r>
      <w:r w:rsidR="000D10B6">
        <w:t>everal</w:t>
      </w:r>
      <w:r w:rsidR="00D151D5">
        <w:t xml:space="preserve"> </w:t>
      </w:r>
      <w:r w:rsidR="00C004DF">
        <w:t xml:space="preserve">decedent </w:t>
      </w:r>
      <w:r w:rsidR="00D151D5">
        <w:t xml:space="preserve">occupations </w:t>
      </w:r>
      <w:r w:rsidR="00BD6B58">
        <w:t>will be</w:t>
      </w:r>
      <w:r w:rsidR="00D151D5">
        <w:t xml:space="preserve"> </w:t>
      </w:r>
      <w:r w:rsidR="00387269">
        <w:t xml:space="preserve">further </w:t>
      </w:r>
      <w:r w:rsidR="00D151D5">
        <w:t>re-coded</w:t>
      </w:r>
      <w:r w:rsidR="000D10B6">
        <w:t xml:space="preserve"> </w:t>
      </w:r>
      <w:r w:rsidR="00C004DF">
        <w:t>to align with IPUMS</w:t>
      </w:r>
      <w:r w:rsidR="001E455B">
        <w:t xml:space="preserve"> </w:t>
      </w:r>
      <w:r w:rsidR="00C004DF">
        <w:t>population denominator</w:t>
      </w:r>
      <w:r w:rsidR="001E455B">
        <w:t>s</w:t>
      </w:r>
      <w:r w:rsidR="00766A27">
        <w:t xml:space="preserve">. </w:t>
      </w:r>
      <w:r w:rsidR="00C004DF">
        <w:t xml:space="preserve">Thus, </w:t>
      </w:r>
      <w:r w:rsidR="00766A27">
        <w:t xml:space="preserve">final </w:t>
      </w:r>
      <w:r w:rsidR="00C004DF">
        <w:t xml:space="preserve">decedent occupation will be based on </w:t>
      </w:r>
      <w:r w:rsidR="00766A27">
        <w:t xml:space="preserve">recodes </w:t>
      </w:r>
      <w:r w:rsidR="00C004DF">
        <w:t xml:space="preserve">from the </w:t>
      </w:r>
      <w:r w:rsidR="00913A58">
        <w:t xml:space="preserve">2018-2010 </w:t>
      </w:r>
      <w:r w:rsidR="001E455B">
        <w:t xml:space="preserve">Census Occupation code </w:t>
      </w:r>
      <w:r w:rsidR="00913A58">
        <w:t>crosswalk</w:t>
      </w:r>
      <w:r w:rsidR="00766A27">
        <w:t xml:space="preserve"> and</w:t>
      </w:r>
      <w:r w:rsidR="006F338C">
        <w:t xml:space="preserve"> </w:t>
      </w:r>
      <w:r w:rsidR="0045176B">
        <w:t>harmoniz</w:t>
      </w:r>
      <w:r w:rsidR="00C004DF">
        <w:t xml:space="preserve">ation of decedent 2010 Census Occupation codes with </w:t>
      </w:r>
      <w:r w:rsidR="0045176B">
        <w:t xml:space="preserve"> IPUMS</w:t>
      </w:r>
      <w:r w:rsidR="00C004DF">
        <w:t>-ACS</w:t>
      </w:r>
      <w:r w:rsidR="0045176B">
        <w:t xml:space="preserve"> </w:t>
      </w:r>
      <w:r w:rsidR="00C004DF">
        <w:t>2010 Census Occupation codes</w:t>
      </w:r>
      <w:r w:rsidR="00831239">
        <w:t xml:space="preserve"> </w:t>
      </w:r>
      <w:r w:rsidR="00331248">
        <w:t>(</w:t>
      </w:r>
      <w:r w:rsidR="008541B7">
        <w:fldChar w:fldCharType="begin"/>
      </w:r>
      <w:r w:rsidR="008541B7">
        <w:instrText xml:space="preserve"> REF _Ref182833773 \h </w:instrText>
      </w:r>
      <w:r w:rsidR="008541B7">
        <w:fldChar w:fldCharType="separate"/>
      </w:r>
      <w:r w:rsidR="008541B7">
        <w:t xml:space="preserve">Appendix </w:t>
      </w:r>
      <w:r w:rsidR="008541B7">
        <w:rPr>
          <w:noProof/>
        </w:rPr>
        <w:t>1</w:t>
      </w:r>
      <w:r w:rsidR="008541B7">
        <w:fldChar w:fldCharType="end"/>
      </w:r>
      <w:r w:rsidR="00331248">
        <w:t>).</w:t>
      </w:r>
      <w:r w:rsidR="00D045C3" w:rsidRPr="00D045C3">
        <w:t xml:space="preserve"> </w:t>
      </w:r>
    </w:p>
    <w:p w14:paraId="36EEF9A5" w14:textId="4E14DA8E" w:rsidR="00D7128B" w:rsidRDefault="00D045C3" w:rsidP="00BC0179">
      <w:r>
        <w:t xml:space="preserve">The </w:t>
      </w:r>
      <w:r w:rsidR="007F7AFD">
        <w:t xml:space="preserve">resulting </w:t>
      </w:r>
      <w:r w:rsidR="00102912">
        <w:t>2010 C</w:t>
      </w:r>
      <w:r>
        <w:t xml:space="preserve">ensus </w:t>
      </w:r>
      <w:r w:rsidR="00102912">
        <w:t>O</w:t>
      </w:r>
      <w:r>
        <w:t>ccupation codes are a hierarchical coding system</w:t>
      </w:r>
      <w:r w:rsidR="00B904CA">
        <w:fldChar w:fldCharType="begin"/>
      </w:r>
      <w:r w:rsidR="00806AA3">
        <w:instrText xml:space="preserve"> ADDIN EN.CITE &lt;EndNote&gt;&lt;Cite ExcludeAuth="1" ExcludeYear="1"&gt;&lt;RecNum&gt;5384&lt;/RecNum&gt;&lt;DisplayText&gt;&lt;style face="superscript"&gt;5&lt;/style&gt;&lt;/DisplayText&gt;&lt;record&gt;&lt;rec-number&gt;5384&lt;/rec-number&gt;&lt;foreign-keys&gt;&lt;key app="EN" db-id="wtwx02spurzfa5edvs55detsvsrfdvt9tepv" timestamp="1738883232"&gt;5384&lt;/key&gt;&lt;/foreign-keys&gt;&lt;ref-type name="Online Database"&gt;45&lt;/ref-type&gt;&lt;contributors&gt;&lt;/contributors&gt;&lt;titles&gt;&lt;title&gt;United States Department of Commerce, Census Bureau. About Occupation&lt;/title&gt;&lt;/titles&gt;&lt;dates&gt;&lt;pub-dates&gt;&lt;date&gt;January 14, 2025&lt;/date&gt;&lt;/pub-dates&gt;&lt;/dates&gt;&lt;urls&gt;&lt;related-urls&gt;&lt;url&gt;https://www.census.gov/topics/employment/industry-occupation/about/occupation.html&lt;/url&gt;&lt;/related-urls&gt;&lt;/urls&gt;&lt;/record&gt;&lt;/Cite&gt;&lt;/EndNote&gt;</w:instrText>
      </w:r>
      <w:r w:rsidR="00B904CA">
        <w:fldChar w:fldCharType="separate"/>
      </w:r>
      <w:r w:rsidR="00806AA3" w:rsidRPr="00806AA3">
        <w:rPr>
          <w:noProof/>
          <w:vertAlign w:val="superscript"/>
        </w:rPr>
        <w:t>5</w:t>
      </w:r>
      <w:r w:rsidR="00B904CA">
        <w:fldChar w:fldCharType="end"/>
      </w:r>
      <w:r>
        <w:t xml:space="preserve"> of jobs into</w:t>
      </w:r>
      <w:r w:rsidR="00D7128B">
        <w:t>:</w:t>
      </w:r>
    </w:p>
    <w:p w14:paraId="15E616F7" w14:textId="4475AE33" w:rsidR="00D7128B" w:rsidRDefault="00F535CD" w:rsidP="00200F41">
      <w:pPr>
        <w:pStyle w:val="ListParagraph"/>
        <w:numPr>
          <w:ilvl w:val="0"/>
          <w:numId w:val="5"/>
        </w:numPr>
      </w:pPr>
      <w:r>
        <w:t>459</w:t>
      </w:r>
      <w:r w:rsidR="00D045C3">
        <w:t xml:space="preserve"> occupations</w:t>
      </w:r>
    </w:p>
    <w:p w14:paraId="3FC093EC" w14:textId="0C414E51" w:rsidR="00D7128B" w:rsidRDefault="00D045C3" w:rsidP="00200F41">
      <w:pPr>
        <w:pStyle w:val="ListParagraph"/>
        <w:numPr>
          <w:ilvl w:val="0"/>
          <w:numId w:val="5"/>
        </w:numPr>
      </w:pPr>
      <w:r>
        <w:t>23 major groups</w:t>
      </w:r>
    </w:p>
    <w:p w14:paraId="227FC243" w14:textId="35D247D3" w:rsidR="00BC0179" w:rsidRDefault="005F358B" w:rsidP="00200F41">
      <w:pPr>
        <w:pStyle w:val="ListParagraph"/>
        <w:numPr>
          <w:ilvl w:val="0"/>
          <w:numId w:val="5"/>
        </w:numPr>
      </w:pPr>
      <w:r>
        <w:lastRenderedPageBreak/>
        <w:t>F</w:t>
      </w:r>
      <w:r w:rsidR="00D7128B">
        <w:t>u</w:t>
      </w:r>
      <w:r w:rsidR="00D045C3">
        <w:t>rther aggrega</w:t>
      </w:r>
      <w:r>
        <w:t>tion</w:t>
      </w:r>
      <w:r w:rsidR="00BF53E5">
        <w:t xml:space="preserve"> </w:t>
      </w:r>
      <w:r w:rsidR="00D045C3">
        <w:t>into 16</w:t>
      </w:r>
      <w:r w:rsidR="00D7128B">
        <w:t xml:space="preserve"> and</w:t>
      </w:r>
      <w:r w:rsidR="00D045C3">
        <w:t xml:space="preserve"> 5 groups</w:t>
      </w:r>
    </w:p>
    <w:p w14:paraId="76AD610F" w14:textId="74DDA383" w:rsidR="003717FB" w:rsidRPr="003717FB" w:rsidRDefault="003717FB" w:rsidP="00C047C4">
      <w:pPr>
        <w:rPr>
          <w:b/>
          <w:bCs/>
        </w:rPr>
      </w:pPr>
      <w:r w:rsidRPr="003717FB">
        <w:rPr>
          <w:b/>
          <w:bCs/>
        </w:rPr>
        <w:t>Cancer death</w:t>
      </w:r>
    </w:p>
    <w:p w14:paraId="0BAD89C8" w14:textId="0F2BFE6F" w:rsidR="000C3D96" w:rsidRDefault="00E81C95" w:rsidP="00C047C4">
      <w:r>
        <w:t xml:space="preserve">A licensed medical certifier completed date of death and cause of death (recoded into </w:t>
      </w:r>
      <w:r w:rsidRPr="006C38D2">
        <w:t>international classification of diseases,</w:t>
      </w:r>
      <w:r>
        <w:t xml:space="preserve"> </w:t>
      </w:r>
      <w:r w:rsidRPr="006C38D2">
        <w:t>10</w:t>
      </w:r>
      <w:r w:rsidRPr="006C38D2">
        <w:rPr>
          <w:vertAlign w:val="superscript"/>
        </w:rPr>
        <w:t>th</w:t>
      </w:r>
      <w:r w:rsidRPr="006C38D2">
        <w:t xml:space="preserve"> revision (ICD-10)</w:t>
      </w:r>
      <w:r>
        <w:t xml:space="preserve"> codes) for MMCD decedent information</w:t>
      </w:r>
      <w:r>
        <w:fldChar w:fldCharType="begin"/>
      </w:r>
      <w:r w:rsidR="00806AA3">
        <w:instrText xml:space="preserve"> ADDIN EN.CITE &lt;EndNote&gt;&lt;Cite&gt;&lt;Author&gt;Centers for Disease&lt;/Author&gt;&lt;Year&gt;2022&lt;/Year&gt;&lt;RecNum&gt;5411&lt;/RecNum&gt;&lt;DisplayText&gt;&lt;style face="superscript"&gt;6&lt;/style&gt;&lt;/DisplayText&gt;&lt;record&gt;&lt;rec-number&gt;5411&lt;/rec-number&gt;&lt;foreign-keys&gt;&lt;key app="EN" db-id="wtwx02spurzfa5edvs55detsvsrfdvt9tepv" timestamp="1740416294"&gt;5411&lt;/key&gt;&lt;/foreign-keys&gt;&lt;ref-type name="Generic"&gt;13&lt;/ref-type&gt;&lt;contributors&gt;&lt;authors&gt;&lt;author&gt;Centers for Disease, Control&lt;/author&gt;&lt;author&gt;Prevention,&lt;/author&gt;&lt;/authors&gt;&lt;/contributors&gt;&lt;titles&gt;&lt;title&gt;Instructions for Classifying Multiple Causes of Death, 2022&lt;/title&gt;&lt;/titles&gt;&lt;dates&gt;&lt;year&gt;2022&lt;/year&gt;&lt;pub-dates&gt;&lt;date&gt;2022/02//&lt;/date&gt;&lt;/pub-dates&gt;&lt;/dates&gt;&lt;publisher&gt;National Center for Health Statistics&lt;/publisher&gt;&lt;urls&gt;&lt;related-urls&gt;&lt;url&gt;https://www.cdc.gov/nchs/nvss/manuals/2022/2b-sectioni-2022.htm&lt;/url&gt;&lt;/related-urls&gt;&lt;/urls&gt;&lt;/record&gt;&lt;/Cite&gt;&lt;/EndNote&gt;</w:instrText>
      </w:r>
      <w:r>
        <w:fldChar w:fldCharType="separate"/>
      </w:r>
      <w:r w:rsidR="00806AA3" w:rsidRPr="00806AA3">
        <w:rPr>
          <w:noProof/>
          <w:vertAlign w:val="superscript"/>
        </w:rPr>
        <w:t>6</w:t>
      </w:r>
      <w:r>
        <w:fldChar w:fldCharType="end"/>
      </w:r>
      <w:r>
        <w:t xml:space="preserve">. </w:t>
      </w:r>
      <w:r w:rsidR="00A07AB2">
        <w:t xml:space="preserve">These ICD-10 codes have been classified into </w:t>
      </w:r>
      <w:r w:rsidR="006A0BDF">
        <w:t>22 groups</w:t>
      </w:r>
      <w:r w:rsidR="00D35801">
        <w:t xml:space="preserve">, which will be used to </w:t>
      </w:r>
      <w:r w:rsidR="006A0BDF">
        <w:t>characterize</w:t>
      </w:r>
      <w:r w:rsidR="00D35801">
        <w:t xml:space="preserve"> </w:t>
      </w:r>
      <w:r w:rsidR="006A0BDF">
        <w:t xml:space="preserve">cancer sites/types </w:t>
      </w:r>
      <w:r w:rsidR="00D35801">
        <w:t>in this study.</w:t>
      </w:r>
      <w:r w:rsidR="00A07AB2">
        <w:t xml:space="preserve"> </w:t>
      </w:r>
      <w:r w:rsidR="00C24365">
        <w:t>Each</w:t>
      </w:r>
      <w:r w:rsidR="00C047C4">
        <w:t xml:space="preserve"> </w:t>
      </w:r>
      <w:r w:rsidR="006462F3">
        <w:t xml:space="preserve">of the </w:t>
      </w:r>
      <w:proofErr w:type="gramStart"/>
      <w:r w:rsidR="006A0BDF">
        <w:t xml:space="preserve">22 </w:t>
      </w:r>
      <w:r w:rsidR="00C047C4">
        <w:t>cancer</w:t>
      </w:r>
      <w:proofErr w:type="gramEnd"/>
      <w:r w:rsidR="00C047C4">
        <w:t xml:space="preserve"> </w:t>
      </w:r>
      <w:r w:rsidR="00C047C4" w:rsidRPr="00CF50E5">
        <w:t>site-</w:t>
      </w:r>
      <w:r w:rsidR="00C047C4">
        <w:t>/type-</w:t>
      </w:r>
      <w:r w:rsidR="00C047C4" w:rsidRPr="00CF50E5">
        <w:t>specific death</w:t>
      </w:r>
      <w:r w:rsidR="00C047C4">
        <w:t>s</w:t>
      </w:r>
      <w:r w:rsidR="00EC5625">
        <w:t xml:space="preserve"> </w:t>
      </w:r>
      <w:r w:rsidR="00D35801">
        <w:t>can</w:t>
      </w:r>
      <w:r w:rsidR="00C24365">
        <w:t xml:space="preserve"> also be</w:t>
      </w:r>
      <w:r w:rsidR="00EC5625">
        <w:t xml:space="preserve"> identified using UCR 113-codes</w:t>
      </w:r>
      <w:r w:rsidR="00C047C4" w:rsidRPr="00CF50E5">
        <w:t xml:space="preserve"> </w:t>
      </w:r>
      <w:r w:rsidR="00C047C4">
        <w:t>(</w:t>
      </w:r>
      <w:r w:rsidR="008541B7">
        <w:fldChar w:fldCharType="begin"/>
      </w:r>
      <w:r w:rsidR="008541B7">
        <w:instrText xml:space="preserve"> REF _Ref182831660 \h </w:instrText>
      </w:r>
      <w:r w:rsidR="008541B7">
        <w:fldChar w:fldCharType="separate"/>
      </w:r>
      <w:r w:rsidR="008541B7">
        <w:t xml:space="preserve">Appendix </w:t>
      </w:r>
      <w:r w:rsidR="008541B7">
        <w:rPr>
          <w:noProof/>
        </w:rPr>
        <w:t>2</w:t>
      </w:r>
      <w:r w:rsidR="008541B7">
        <w:fldChar w:fldCharType="end"/>
      </w:r>
      <w:r w:rsidR="00C047C4">
        <w:t>).</w:t>
      </w:r>
      <w:r w:rsidR="00946C58">
        <w:t xml:space="preserve"> </w:t>
      </w:r>
    </w:p>
    <w:p w14:paraId="4D47E114" w14:textId="58026CCE" w:rsidR="003717FB" w:rsidRPr="003717FB" w:rsidRDefault="003717FB" w:rsidP="00C047C4">
      <w:pPr>
        <w:rPr>
          <w:b/>
          <w:bCs/>
        </w:rPr>
      </w:pPr>
      <w:r w:rsidRPr="003717FB">
        <w:rPr>
          <w:b/>
          <w:bCs/>
        </w:rPr>
        <w:t>Selection Criteria</w:t>
      </w:r>
    </w:p>
    <w:p w14:paraId="7246C2E4" w14:textId="75D6D21F" w:rsidR="00946C58" w:rsidRDefault="00946C58" w:rsidP="00C047C4">
      <w:r>
        <w:t xml:space="preserve">To </w:t>
      </w:r>
      <w:r w:rsidR="00572A8C">
        <w:t xml:space="preserve">represent the target population of </w:t>
      </w:r>
      <w:r w:rsidR="00F11D29">
        <w:t xml:space="preserve">cancer deaths among </w:t>
      </w:r>
      <w:r w:rsidR="00572A8C">
        <w:t>working-age civilians living in the U.S.,</w:t>
      </w:r>
      <w:r w:rsidR="00F11D29">
        <w:t xml:space="preserve"> the following </w:t>
      </w:r>
      <w:r w:rsidR="004A2306">
        <w:t xml:space="preserve">selection criteria </w:t>
      </w:r>
      <w:r w:rsidR="000C3D96">
        <w:t>will be</w:t>
      </w:r>
      <w:r w:rsidR="004A2306">
        <w:t xml:space="preserve"> applied</w:t>
      </w:r>
      <w:r w:rsidR="000C3D96">
        <w:t xml:space="preserve"> to each dataset</w:t>
      </w:r>
      <w:r w:rsidR="004A2306">
        <w:t xml:space="preserve">: </w:t>
      </w:r>
    </w:p>
    <w:p w14:paraId="64ED9E2F" w14:textId="00F75B23" w:rsidR="004A2306" w:rsidRDefault="00BB62E5" w:rsidP="004A2306">
      <w:pPr>
        <w:pStyle w:val="ListParagraph"/>
        <w:numPr>
          <w:ilvl w:val="0"/>
          <w:numId w:val="3"/>
        </w:numPr>
      </w:pPr>
      <w:r>
        <w:t>Ages 20 to 64</w:t>
      </w:r>
    </w:p>
    <w:p w14:paraId="5CABCBD9" w14:textId="66833415" w:rsidR="00BB62E5" w:rsidRDefault="00BB62E5" w:rsidP="004A2306">
      <w:pPr>
        <w:pStyle w:val="ListParagraph"/>
        <w:numPr>
          <w:ilvl w:val="0"/>
          <w:numId w:val="3"/>
        </w:numPr>
      </w:pPr>
      <w:r>
        <w:t>Resident status</w:t>
      </w:r>
      <w:r w:rsidR="00393BAA">
        <w:t xml:space="preserve"> of</w:t>
      </w:r>
      <w:r>
        <w:t xml:space="preserve"> </w:t>
      </w:r>
      <w:r w:rsidR="006A0BDF">
        <w:t>“Residents”, “Intrastate non-residents”, or “Interstate non-residents”</w:t>
      </w:r>
    </w:p>
    <w:p w14:paraId="7BA9A70F" w14:textId="124F9F4E" w:rsidR="00BB62E5" w:rsidRDefault="00BB62E5" w:rsidP="00563A66">
      <w:pPr>
        <w:pStyle w:val="ListParagraph"/>
        <w:numPr>
          <w:ilvl w:val="0"/>
          <w:numId w:val="3"/>
        </w:numPr>
      </w:pPr>
      <w:r>
        <w:t>Natural manner of death</w:t>
      </w:r>
    </w:p>
    <w:p w14:paraId="713938BD" w14:textId="2A16DA8B" w:rsidR="00791D1C" w:rsidRDefault="000577CD" w:rsidP="00563A66">
      <w:pPr>
        <w:pStyle w:val="ListParagraph"/>
        <w:numPr>
          <w:ilvl w:val="0"/>
          <w:numId w:val="3"/>
        </w:numPr>
      </w:pPr>
      <w:r>
        <w:t xml:space="preserve">Cause of death </w:t>
      </w:r>
      <w:r w:rsidR="004E215C">
        <w:t>indicating malignant neoplasms (</w:t>
      </w:r>
      <w:r w:rsidR="00791D1C">
        <w:t xml:space="preserve">ICD-10 </w:t>
      </w:r>
      <w:r w:rsidR="00791D1C" w:rsidRPr="006C38D2">
        <w:t>C00-C99</w:t>
      </w:r>
      <w:r w:rsidR="004E215C">
        <w:t>)</w:t>
      </w:r>
    </w:p>
    <w:p w14:paraId="034D001D" w14:textId="276A67C1" w:rsidR="004E215C" w:rsidRDefault="00EA0D53" w:rsidP="00200F41">
      <w:pPr>
        <w:pStyle w:val="ListParagraph"/>
        <w:numPr>
          <w:ilvl w:val="0"/>
          <w:numId w:val="3"/>
        </w:numPr>
      </w:pPr>
      <w:r>
        <w:t>Known civilian occupation codes (</w:t>
      </w:r>
      <w:r w:rsidR="005B7796">
        <w:t>omitted:</w:t>
      </w:r>
      <w:r>
        <w:t xml:space="preserve"> ‘Unknown occupation code’ 9999, military codes 9800-9830, missing occupations, or non-paid occupations</w:t>
      </w:r>
      <w:r w:rsidR="00DC5418">
        <w:t xml:space="preserve"> </w:t>
      </w:r>
      <w:r w:rsidR="00200F41">
        <w:t>[Own Home/Homemaker</w:t>
      </w:r>
      <w:r w:rsidR="007D1D96">
        <w:t>;</w:t>
      </w:r>
      <w:r w:rsidR="00200F41">
        <w:t xml:space="preserve"> Volunteer not for pay; retired</w:t>
      </w:r>
      <w:r w:rsidR="007D1D96">
        <w:t>;</w:t>
      </w:r>
      <w:r w:rsidR="00200F41">
        <w:t xml:space="preserve"> student attending a high school or college</w:t>
      </w:r>
      <w:r w:rsidR="007D1D96">
        <w:t>;</w:t>
      </w:r>
      <w:r w:rsidR="00200F41">
        <w:t xml:space="preserve"> </w:t>
      </w:r>
      <w:proofErr w:type="spellStart"/>
      <w:r w:rsidR="00200F41">
        <w:t>can not</w:t>
      </w:r>
      <w:proofErr w:type="spellEnd"/>
      <w:r w:rsidR="00200F41">
        <w:t xml:space="preserve"> work, never worked, disabled, patient or inmate]</w:t>
      </w:r>
      <w:r>
        <w:t>)</w:t>
      </w:r>
    </w:p>
    <w:p w14:paraId="789BE5EB" w14:textId="4058E7CB" w:rsidR="00C047C4" w:rsidRDefault="006A0BDF" w:rsidP="00C047C4">
      <w:r>
        <w:t>C</w:t>
      </w:r>
      <w:r w:rsidR="00C047C4">
        <w:t xml:space="preserve">ancer deaths </w:t>
      </w:r>
      <w:r>
        <w:t xml:space="preserve">overall </w:t>
      </w:r>
      <w:r w:rsidR="00C047C4">
        <w:t xml:space="preserve">and </w:t>
      </w:r>
      <w:r>
        <w:t xml:space="preserve">by </w:t>
      </w:r>
      <w:r w:rsidR="00C047C4">
        <w:t xml:space="preserve">site </w:t>
      </w:r>
      <w:r w:rsidR="00B22481">
        <w:t>will be</w:t>
      </w:r>
      <w:r w:rsidR="00C047C4">
        <w:t xml:space="preserve"> </w:t>
      </w:r>
      <w:r>
        <w:t xml:space="preserve">summed </w:t>
      </w:r>
      <w:r w:rsidR="0077157F">
        <w:t xml:space="preserve">across </w:t>
      </w:r>
      <w:r>
        <w:t xml:space="preserve">2020-2023 </w:t>
      </w:r>
      <w:r w:rsidR="005F2D66">
        <w:t>in preparation of calculating</w:t>
      </w:r>
      <w:r w:rsidR="009E1EC9">
        <w:t xml:space="preserve"> </w:t>
      </w:r>
      <w:r w:rsidR="005F2D66">
        <w:t xml:space="preserve">average </w:t>
      </w:r>
      <w:r w:rsidR="009E1EC9">
        <w:t>annual rates</w:t>
      </w:r>
      <w:r w:rsidR="00542345">
        <w:t xml:space="preserve"> for each</w:t>
      </w:r>
      <w:r w:rsidR="00B22481">
        <w:t xml:space="preserve"> </w:t>
      </w:r>
      <w:r w:rsidR="00C047C4">
        <w:t>age, sex,</w:t>
      </w:r>
      <w:r w:rsidR="00542345">
        <w:t xml:space="preserve"> and</w:t>
      </w:r>
      <w:r w:rsidR="00C047C4">
        <w:t xml:space="preserve"> occupation. </w:t>
      </w:r>
    </w:p>
    <w:p w14:paraId="4888AF13" w14:textId="1331CA5E" w:rsidR="00665616" w:rsidRPr="001B5B3C" w:rsidRDefault="00665616" w:rsidP="00ED23F4">
      <w:pPr>
        <w:pStyle w:val="Heading3"/>
      </w:pPr>
      <w:r>
        <w:t>Denominator</w:t>
      </w:r>
      <w:r w:rsidR="00800B1A">
        <w:tab/>
      </w:r>
    </w:p>
    <w:p w14:paraId="009EB23F" w14:textId="1ED0F0A3" w:rsidR="00D05682" w:rsidRDefault="0077157F" w:rsidP="00234BD4">
      <w:r>
        <w:t xml:space="preserve">For each age-sex- and occupation strata generated in the numerator, corresponding </w:t>
      </w:r>
      <w:r w:rsidR="006A0BDF">
        <w:t xml:space="preserve">age-sex- and occupation-specific </w:t>
      </w:r>
      <w:r w:rsidR="0073111A">
        <w:t>denominators</w:t>
      </w:r>
      <w:r w:rsidR="006656BF">
        <w:t xml:space="preserve"> will be obtained</w:t>
      </w:r>
      <w:r w:rsidR="0073111A">
        <w:t xml:space="preserve"> </w:t>
      </w:r>
      <w:r w:rsidR="006656BF" w:rsidRPr="006C38D2">
        <w:t xml:space="preserve">from annual </w:t>
      </w:r>
      <w:r w:rsidR="006A0BDF">
        <w:t>ACS-IPUMS</w:t>
      </w:r>
      <w:r w:rsidR="006656BF" w:rsidRPr="006C38D2">
        <w:t>.</w:t>
      </w:r>
      <w:r w:rsidR="006656BF">
        <w:fldChar w:fldCharType="begin"/>
      </w:r>
      <w:r w:rsidR="00806AA3">
        <w:instrText xml:space="preserve"> ADDIN EN.CITE &lt;EndNote&gt;&lt;Cite&gt;&lt;Author&gt;Steven Ruggles&lt;/Author&gt;&lt;Year&gt;2024&lt;/Year&gt;&lt;RecNum&gt;5387&lt;/RecNum&gt;&lt;DisplayText&gt;&lt;style face="superscript"&gt;7,8&lt;/style&gt;&lt;/DisplayText&gt;&lt;record&gt;&lt;rec-number&gt;5387&lt;/rec-number&gt;&lt;foreign-keys&gt;&lt;key app="EN" db-id="wtwx02spurzfa5edvs55detsvsrfdvt9tepv" timestamp="1739977946"&gt;5387&lt;/key&gt;&lt;/foreign-keys&gt;&lt;ref-type name="Generic"&gt;13&lt;/ref-type&gt;&lt;contributors&gt;&lt;authors&gt;&lt;author&gt;Steven Ruggles, Sarah Flood, Matthew Sobek, Daniel Backman, Annie Chen, Grace Cooper, Stephanie Richards, Renae Rodgers, and Megan Schouweiler&lt;/author&gt;&lt;/authors&gt;&lt;secondary-authors&gt;&lt;author&gt;Minneapolis: University of Minnesota&lt;/author&gt;&lt;/secondary-authors&gt;&lt;/contributors&gt;&lt;titles&gt;&lt;title&gt;Integrated Public Use Microdata Series: Version 15.0&lt;/title&gt;&lt;/titles&gt;&lt;dates&gt;&lt;year&gt;2024&lt;/year&gt;&lt;/dates&gt;&lt;urls&gt;&lt;related-urls&gt;&lt;url&gt;https://doi.org/10.18128/D010.V15.0.&lt;/url&gt;&lt;/related-urls&gt;&lt;/urls&gt;&lt;/record&gt;&lt;/Cite&gt;&lt;Cite&gt;&lt;Author&gt;Bureau&lt;/Author&gt;&lt;Year&gt;2014&lt;/Year&gt;&lt;RecNum&gt;438&lt;/RecNum&gt;&lt;record&gt;&lt;rec-number&gt;438&lt;/rec-number&gt;&lt;foreign-keys&gt;&lt;key app="EN" db-id="wtwx02spurzfa5edvs55detsvsrfdvt9tepv" timestamp="0"&gt;438&lt;/key&gt;&lt;/foreign-keys&gt;&lt;ref-type name="Personal Communication"&gt;26&lt;/ref-type&gt;&lt;contributors&gt;&lt;authors&gt;&lt;author&gt;U. S. Census Bureau&lt;/author&gt;&lt;author&gt;Department of Commerce, Economics&lt;/author&gt;&lt;author&gt;Statistics, Administration&lt;/author&gt;&lt;/authors&gt;&lt;/contributors&gt;&lt;titles&gt;&lt;title&gt;2010 American Community Survey 1-Year Estimates; using American FactFinder; &amp;lt;http://factfinder2.census.gov&amp;gt;&lt;/title&gt;&lt;/titles&gt;&lt;volume&gt;2014&lt;/volume&gt;&lt;dates&gt;&lt;year&gt;2014&lt;/year&gt;&lt;/dates&gt;&lt;urls&gt;&lt;/urls&gt;&lt;/record&gt;&lt;/Cite&gt;&lt;/EndNote&gt;</w:instrText>
      </w:r>
      <w:r w:rsidR="006656BF">
        <w:fldChar w:fldCharType="separate"/>
      </w:r>
      <w:r w:rsidR="00806AA3" w:rsidRPr="00806AA3">
        <w:rPr>
          <w:noProof/>
          <w:vertAlign w:val="superscript"/>
        </w:rPr>
        <w:t>7,8</w:t>
      </w:r>
      <w:r w:rsidR="006656BF">
        <w:fldChar w:fldCharType="end"/>
      </w:r>
      <w:r w:rsidR="006656BF">
        <w:t xml:space="preserve">  </w:t>
      </w:r>
    </w:p>
    <w:p w14:paraId="30702CBA" w14:textId="5915A181" w:rsidR="00D05682" w:rsidRPr="0021578B" w:rsidRDefault="005C5B3B" w:rsidP="00234BD4">
      <w:pPr>
        <w:rPr>
          <w:b/>
          <w:bCs/>
        </w:rPr>
      </w:pPr>
      <w:r w:rsidRPr="0021578B">
        <w:rPr>
          <w:b/>
          <w:bCs/>
        </w:rPr>
        <w:t xml:space="preserve">Historical </w:t>
      </w:r>
      <w:r w:rsidR="00CC19D4" w:rsidRPr="0021578B">
        <w:rPr>
          <w:b/>
          <w:bCs/>
        </w:rPr>
        <w:t>cohort</w:t>
      </w:r>
      <w:r w:rsidRPr="0021578B">
        <w:rPr>
          <w:b/>
          <w:bCs/>
        </w:rPr>
        <w:t xml:space="preserve"> </w:t>
      </w:r>
    </w:p>
    <w:p w14:paraId="33E59A07" w14:textId="1FF982D7" w:rsidR="00D723DD" w:rsidRDefault="00D10F16" w:rsidP="00295518">
      <w:r>
        <w:t>Age-, sex-, occupation, and year</w:t>
      </w:r>
      <w:r w:rsidR="00D05682">
        <w:t>-specific</w:t>
      </w:r>
      <w:r w:rsidR="00D05682" w:rsidRPr="006C38D2" w:rsidDel="002918CB">
        <w:t xml:space="preserve"> </w:t>
      </w:r>
      <w:r w:rsidR="00D05682">
        <w:t>cohorts</w:t>
      </w:r>
      <w:r>
        <w:t xml:space="preserve"> will be </w:t>
      </w:r>
      <w:r w:rsidR="00393BAA">
        <w:t xml:space="preserve">generated </w:t>
      </w:r>
      <w:r w:rsidR="00D05682">
        <w:t xml:space="preserve">based on historical employment data from 1976-2023 to </w:t>
      </w:r>
      <w:r w:rsidR="00D05682" w:rsidRPr="006C38D2">
        <w:t xml:space="preserve">account for </w:t>
      </w:r>
      <w:r w:rsidR="00D05682">
        <w:t xml:space="preserve">occupational exposure variation due to recording of decedent’s ‘usual’ occupation, cancer </w:t>
      </w:r>
      <w:r w:rsidR="00D05682" w:rsidRPr="006C38D2">
        <w:t xml:space="preserve">latency </w:t>
      </w:r>
      <w:r w:rsidR="00D05682">
        <w:t>from occupation-related exposure</w:t>
      </w:r>
      <w:r w:rsidR="00D05682" w:rsidRPr="006C38D2">
        <w:t>,</w:t>
      </w:r>
      <w:r w:rsidR="00D05682">
        <w:t xml:space="preserve"> different exposure duration based on years working in occupation, and temporal changes in employment by occupation, sex, and age</w:t>
      </w:r>
      <w:r w:rsidR="00AF7BD6">
        <w:t xml:space="preserve">. </w:t>
      </w:r>
      <w:r w:rsidR="007B300C">
        <w:t xml:space="preserve">Within each </w:t>
      </w:r>
      <w:r w:rsidR="00275AF4">
        <w:t xml:space="preserve">calendar year (2020-2023), </w:t>
      </w:r>
      <w:r w:rsidR="0008515D">
        <w:t>each age-, sex-, and occupation</w:t>
      </w:r>
      <w:r w:rsidR="00D05682">
        <w:t>-specific</w:t>
      </w:r>
      <w:r w:rsidR="00D05682" w:rsidRPr="006C38D2" w:rsidDel="002918CB">
        <w:t xml:space="preserve"> </w:t>
      </w:r>
      <w:r w:rsidR="00D05682">
        <w:t>cohorts</w:t>
      </w:r>
      <w:r w:rsidR="00D05682" w:rsidRPr="006C38D2">
        <w:t xml:space="preserve"> </w:t>
      </w:r>
      <w:r w:rsidR="0008515D">
        <w:t>will be</w:t>
      </w:r>
      <w:r w:rsidR="00D05682">
        <w:t xml:space="preserve"> measured </w:t>
      </w:r>
      <w:r w:rsidR="00865C3F">
        <w:t>as</w:t>
      </w:r>
      <w:r w:rsidR="00295518">
        <w:t xml:space="preserve"> t</w:t>
      </w:r>
      <w:r w:rsidR="00D05682">
        <w:t xml:space="preserve">he </w:t>
      </w:r>
      <w:r w:rsidR="00D05682" w:rsidRPr="006C38D2">
        <w:t xml:space="preserve">average number of people </w:t>
      </w:r>
      <w:r w:rsidR="00D05682">
        <w:t xml:space="preserve">employed </w:t>
      </w:r>
      <w:r w:rsidR="00D05682" w:rsidRPr="006C38D2">
        <w:t xml:space="preserve">in an occupation across </w:t>
      </w:r>
      <w:r w:rsidR="00D05682">
        <w:t xml:space="preserve">a </w:t>
      </w:r>
      <w:r w:rsidR="00D05682" w:rsidRPr="006C38D2">
        <w:t>working lifetime, where</w:t>
      </w:r>
      <w:r w:rsidR="00295518">
        <w:t xml:space="preserve"> </w:t>
      </w:r>
      <w:r w:rsidR="00D05682" w:rsidRPr="006C38D2">
        <w:t xml:space="preserve">working </w:t>
      </w:r>
      <w:r w:rsidR="00D05682">
        <w:t>lifetime occur</w:t>
      </w:r>
      <w:r w:rsidR="00D723DD">
        <w:t>s</w:t>
      </w:r>
      <w:r w:rsidR="00D05682">
        <w:t xml:space="preserve"> between </w:t>
      </w:r>
      <w:r w:rsidR="00D05682" w:rsidRPr="006C38D2">
        <w:t>20 and 64 years of age</w:t>
      </w:r>
      <w:r w:rsidR="00D05682">
        <w:t xml:space="preserve"> for all relevant sex-, age-, year-, and occupation strata</w:t>
      </w:r>
      <w:r w:rsidR="00D05682" w:rsidRPr="006C38D2">
        <w:t xml:space="preserve">. </w:t>
      </w:r>
      <w:r w:rsidR="00A656D6">
        <w:t>Therefore</w:t>
      </w:r>
      <w:r w:rsidR="002C6D72">
        <w:t>, the following</w:t>
      </w:r>
      <w:r w:rsidR="00A656D6" w:rsidRPr="00A656D6">
        <w:t xml:space="preserve"> calculation of single age (20-64 years)- and year (2020-2023)-specific denominators for each sex and occupation</w:t>
      </w:r>
      <w:r w:rsidR="002C6D72">
        <w:t xml:space="preserve"> will be </w:t>
      </w:r>
      <w:r w:rsidR="00E51FA8">
        <w:t>used as the denominator</w:t>
      </w:r>
      <w:r w:rsidR="00A656D6" w:rsidRPr="00A656D6">
        <w:t>:</w:t>
      </w:r>
    </w:p>
    <w:p w14:paraId="6C0DE2B5" w14:textId="77777777" w:rsidR="00ED6914" w:rsidRPr="00EF2178" w:rsidRDefault="00000000" w:rsidP="00ED6914">
      <m:oMathPara>
        <m:oMath>
          <m:sSub>
            <m:sSubPr>
              <m:ctrlPr>
                <w:rPr>
                  <w:rFonts w:ascii="Cambria Math" w:hAnsi="Cambria Math"/>
                  <w:i/>
                </w:rPr>
              </m:ctrlPr>
            </m:sSubPr>
            <m:e>
              <m:r>
                <w:rPr>
                  <w:rFonts w:ascii="Cambria Math" w:hAnsi="Cambria Math"/>
                </w:rPr>
                <m:t>Adjusted persons at risk</m:t>
              </m:r>
            </m:e>
            <m:sub>
              <m:r>
                <w:rPr>
                  <w:rFonts w:ascii="Cambria Math" w:hAnsi="Cambria Math"/>
                </w:rPr>
                <m:t>s, o, y,  a</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Number of people</m:t>
                          </m:r>
                        </m:e>
                        <m:sub>
                          <m:r>
                            <w:rPr>
                              <w:rFonts w:ascii="Cambria Math" w:hAnsi="Cambria Math"/>
                            </w:rPr>
                            <m:t>i</m:t>
                          </m:r>
                        </m:sub>
                      </m:sSub>
                    </m:e>
                    <m:sub>
                      <m:r>
                        <w:rPr>
                          <w:rFonts w:ascii="Cambria Math" w:hAnsi="Cambria Math"/>
                        </w:rPr>
                        <m:t>s,o,y,a</m:t>
                      </m:r>
                    </m:sub>
                  </m:sSub>
                </m:e>
              </m:nary>
            </m:num>
            <m:den>
              <m:sSub>
                <m:sSubPr>
                  <m:ctrlPr>
                    <w:rPr>
                      <w:rFonts w:ascii="Cambria Math" w:hAnsi="Cambria Math"/>
                      <w:i/>
                    </w:rPr>
                  </m:ctrlPr>
                </m:sSubPr>
                <m:e>
                  <m:r>
                    <w:rPr>
                      <w:rFonts w:ascii="Cambria Math" w:hAnsi="Cambria Math"/>
                    </w:rPr>
                    <m:t>n</m:t>
                  </m:r>
                </m:e>
                <m:sub>
                  <m:r>
                    <w:rPr>
                      <w:rFonts w:ascii="Cambria Math" w:hAnsi="Cambria Math"/>
                    </w:rPr>
                    <m:t>s,o, y,a</m:t>
                  </m:r>
                </m:sub>
              </m:sSub>
            </m:den>
          </m:f>
        </m:oMath>
      </m:oMathPara>
    </w:p>
    <w:p w14:paraId="6BBF1816" w14:textId="77777777" w:rsidR="00ED6914" w:rsidRPr="008C31FC" w:rsidRDefault="00ED6914" w:rsidP="00ED6914">
      <m:oMathPara>
        <m:oMath>
          <m:r>
            <w:rPr>
              <w:rFonts w:ascii="Cambria Math" w:hAnsi="Cambria Math"/>
            </w:rPr>
            <m:t>Where: n=historical years that the age cohort is aged 20 to 64 with nonzero population;</m:t>
          </m:r>
        </m:oMath>
      </m:oMathPara>
    </w:p>
    <w:p w14:paraId="1D0BF835" w14:textId="77777777" w:rsidR="00ED6914" w:rsidRPr="00846363" w:rsidRDefault="00ED6914" w:rsidP="00ED6914">
      <m:oMathPara>
        <m:oMath>
          <m:r>
            <w:rPr>
              <w:rFonts w:ascii="Cambria Math" w:hAnsi="Cambria Math"/>
            </w:rPr>
            <w:lastRenderedPageBreak/>
            <m:t>s=sex: male or female;</m:t>
          </m:r>
        </m:oMath>
      </m:oMathPara>
    </w:p>
    <w:p w14:paraId="6F3DD89A" w14:textId="77777777" w:rsidR="00ED6914" w:rsidRPr="00846363" w:rsidRDefault="00ED6914" w:rsidP="00ED6914">
      <m:oMathPara>
        <m:oMath>
          <m:r>
            <w:rPr>
              <w:rFonts w:ascii="Cambria Math" w:hAnsi="Cambria Math"/>
            </w:rPr>
            <m:t xml:space="preserve">o=detailed occupation identified by OCC </m:t>
          </m:r>
        </m:oMath>
      </m:oMathPara>
    </w:p>
    <w:p w14:paraId="32AB737F" w14:textId="77777777" w:rsidR="00ED6914" w:rsidRPr="00846363" w:rsidRDefault="00ED6914" w:rsidP="00ED6914">
      <m:oMathPara>
        <m:oMath>
          <m:r>
            <w:rPr>
              <w:rFonts w:ascii="Cambria Math" w:hAnsi="Cambria Math"/>
            </w:rPr>
            <m:t>y=year of death 2020 to 2023;</m:t>
          </m:r>
        </m:oMath>
      </m:oMathPara>
    </w:p>
    <w:p w14:paraId="1270EF8B" w14:textId="740AF199" w:rsidR="00653BE0" w:rsidRDefault="00ED6914" w:rsidP="00653BE0">
      <m:oMathPara>
        <m:oMath>
          <m:r>
            <w:rPr>
              <w:rFonts w:ascii="Cambria Math" w:hAnsi="Cambria Math"/>
            </w:rPr>
            <m:t xml:space="preserve"> a=age cohort of 20 to 64 within each death year;</m:t>
          </m:r>
        </m:oMath>
      </m:oMathPara>
    </w:p>
    <w:p w14:paraId="53835CD7" w14:textId="77777777" w:rsidR="00F550B3" w:rsidRDefault="00653BE0" w:rsidP="00800FD8">
      <w:pPr>
        <w:spacing w:line="240" w:lineRule="auto"/>
      </w:pPr>
      <w:r>
        <w:t>Because ACS data prior to 2006 were assessed decennially (i.e., 2000, 1990, 1980, 1970</w:t>
      </w:r>
      <w:r w:rsidR="007C2CB5">
        <w:t xml:space="preserve">), counts for years </w:t>
      </w:r>
      <w:r>
        <w:t>when ACS was not administered were generated by linear interpolation using values of the nearest survey years that the occupation was assessed and in existence</w:t>
      </w:r>
      <w:r w:rsidRPr="006C38D2">
        <w:t>.</w:t>
      </w:r>
      <w:r>
        <w:t xml:space="preserve"> </w:t>
      </w:r>
    </w:p>
    <w:p w14:paraId="458940E9" w14:textId="203B5EF7" w:rsidR="00AF7BD6" w:rsidRDefault="00653BE0" w:rsidP="00800FD8">
      <w:pPr>
        <w:pStyle w:val="ListParagraph"/>
        <w:numPr>
          <w:ilvl w:val="0"/>
          <w:numId w:val="3"/>
        </w:numPr>
        <w:spacing w:line="240" w:lineRule="auto"/>
      </w:pPr>
      <w:r w:rsidRPr="006C38D2">
        <w:t xml:space="preserve">For example, </w:t>
      </w:r>
      <w:r>
        <w:t>a sex and occupation-specific</w:t>
      </w:r>
      <w:r w:rsidRPr="006C38D2">
        <w:t xml:space="preserve"> 40-year-old age cohort </w:t>
      </w:r>
      <w:r>
        <w:t xml:space="preserve">for those who died </w:t>
      </w:r>
      <w:r w:rsidRPr="006C38D2">
        <w:t>in 2020 is defined as the average of number of 40-year-olds in 2020</w:t>
      </w:r>
      <w:r>
        <w:t xml:space="preserve"> (i.e., oldest age within working lifetime)</w:t>
      </w:r>
      <w:r w:rsidRPr="006C38D2">
        <w:t>, number of 39-year-olds in 2019, back tracked to the number of 20-year-olds in 2000</w:t>
      </w:r>
      <w:r>
        <w:t xml:space="preserve"> (i.e., youngest age within working lifetime)</w:t>
      </w:r>
      <w:r w:rsidRPr="006C38D2">
        <w:t xml:space="preserve">. </w:t>
      </w:r>
    </w:p>
    <w:p w14:paraId="5E4E7126" w14:textId="77777777" w:rsidR="002740A8" w:rsidRDefault="002740A8" w:rsidP="00F82E0F">
      <w:pPr>
        <w:rPr>
          <w:b/>
          <w:bCs/>
        </w:rPr>
      </w:pPr>
      <w:r>
        <w:rPr>
          <w:b/>
          <w:bCs/>
        </w:rPr>
        <w:t xml:space="preserve">Selection criteria </w:t>
      </w:r>
    </w:p>
    <w:p w14:paraId="4E3517CC" w14:textId="5076A26A" w:rsidR="00BE4C80" w:rsidRDefault="00EC6EAC" w:rsidP="00F82E0F">
      <w:r>
        <w:t xml:space="preserve">Following the calculation for adjusted persons at risk above, </w:t>
      </w:r>
      <w:r w:rsidR="001968E5">
        <w:t xml:space="preserve">only </w:t>
      </w:r>
      <w:r w:rsidR="00F60B8D">
        <w:t>k</w:t>
      </w:r>
      <w:r w:rsidR="00F60B8D" w:rsidRPr="00F60B8D">
        <w:t>nown civilian occupation codes</w:t>
      </w:r>
      <w:r w:rsidR="00F60B8D">
        <w:t xml:space="preserve"> will be included in the </w:t>
      </w:r>
      <w:proofErr w:type="gramStart"/>
      <w:r w:rsidR="00BE4C80">
        <w:t>denominator</w:t>
      </w:r>
      <w:r w:rsidR="00A57321">
        <w:t>;</w:t>
      </w:r>
      <w:proofErr w:type="gramEnd"/>
      <w:r w:rsidR="00BE4C80">
        <w:t xml:space="preserve"> excluding the following occupations</w:t>
      </w:r>
      <w:r w:rsidR="00A57321">
        <w:t>:</w:t>
      </w:r>
    </w:p>
    <w:p w14:paraId="37F6530C" w14:textId="77777777" w:rsidR="00784FBF" w:rsidRPr="00784FBF" w:rsidRDefault="00F60B8D" w:rsidP="00BE4C80">
      <w:pPr>
        <w:pStyle w:val="ListParagraph"/>
        <w:numPr>
          <w:ilvl w:val="0"/>
          <w:numId w:val="3"/>
        </w:numPr>
        <w:rPr>
          <w:b/>
          <w:bCs/>
        </w:rPr>
      </w:pPr>
      <w:r w:rsidRPr="00F60B8D">
        <w:t>‘Unknown occupation code’ 9999</w:t>
      </w:r>
    </w:p>
    <w:p w14:paraId="06FD2E04" w14:textId="1D333103" w:rsidR="00784FBF" w:rsidRPr="00784FBF" w:rsidRDefault="00BF418B" w:rsidP="00BE4C80">
      <w:pPr>
        <w:pStyle w:val="ListParagraph"/>
        <w:numPr>
          <w:ilvl w:val="0"/>
          <w:numId w:val="3"/>
        </w:numPr>
        <w:rPr>
          <w:b/>
          <w:bCs/>
        </w:rPr>
      </w:pPr>
      <w:r>
        <w:t>M</w:t>
      </w:r>
      <w:r w:rsidR="00F60B8D" w:rsidRPr="00F60B8D">
        <w:t>ilitary codes 9800-9830</w:t>
      </w:r>
    </w:p>
    <w:p w14:paraId="754E4632" w14:textId="57E09AEA" w:rsidR="002740A8" w:rsidRPr="00BE4C80" w:rsidRDefault="00C92F8C" w:rsidP="00BE4C80">
      <w:pPr>
        <w:pStyle w:val="ListParagraph"/>
        <w:numPr>
          <w:ilvl w:val="0"/>
          <w:numId w:val="3"/>
        </w:numPr>
        <w:rPr>
          <w:b/>
          <w:bCs/>
        </w:rPr>
      </w:pPr>
      <w:r>
        <w:t>M</w:t>
      </w:r>
      <w:r w:rsidR="00F60B8D" w:rsidRPr="00F60B8D">
        <w:t>issing occupations</w:t>
      </w:r>
    </w:p>
    <w:p w14:paraId="2E0FB0AA" w14:textId="0C83AA7F" w:rsidR="00D57BFE" w:rsidRPr="007255BF" w:rsidRDefault="00042061" w:rsidP="00F82E0F">
      <w:pPr>
        <w:rPr>
          <w:b/>
          <w:bCs/>
        </w:rPr>
      </w:pPr>
      <w:r w:rsidRPr="007255BF">
        <w:rPr>
          <w:b/>
          <w:bCs/>
        </w:rPr>
        <w:t xml:space="preserve">Sex-specific </w:t>
      </w:r>
      <w:r w:rsidR="00FF5027">
        <w:rPr>
          <w:b/>
          <w:bCs/>
        </w:rPr>
        <w:t>correction</w:t>
      </w:r>
    </w:p>
    <w:p w14:paraId="233ABB61" w14:textId="0DFF0D28" w:rsidR="00851711" w:rsidRDefault="009827F1" w:rsidP="00F82E0F">
      <w:r>
        <w:t>T</w:t>
      </w:r>
      <w:r w:rsidR="00B41808">
        <w:t xml:space="preserve">o account for </w:t>
      </w:r>
      <w:r w:rsidR="00717F3F">
        <w:t xml:space="preserve">changes in </w:t>
      </w:r>
      <w:r w:rsidR="00B41808">
        <w:t xml:space="preserve">population </w:t>
      </w:r>
      <w:r w:rsidR="007969A5">
        <w:t xml:space="preserve">and employed persons </w:t>
      </w:r>
      <w:r w:rsidR="007A2D85">
        <w:t xml:space="preserve">across the </w:t>
      </w:r>
      <w:r w:rsidR="003A0138">
        <w:t>historical cohort and yield contemporarily comparable rates</w:t>
      </w:r>
      <w:r w:rsidR="007A2D85">
        <w:t>,</w:t>
      </w:r>
      <w:r w:rsidR="00AF4E2D">
        <w:t xml:space="preserve"> </w:t>
      </w:r>
      <w:r w:rsidR="00587326">
        <w:t xml:space="preserve">each stratum-specific </w:t>
      </w:r>
      <w:r w:rsidR="00082903">
        <w:t>adjusted persons at risk</w:t>
      </w:r>
      <w:r w:rsidR="00587326">
        <w:t xml:space="preserve"> calculation</w:t>
      </w:r>
      <w:r w:rsidR="000F1BEF">
        <w:t xml:space="preserve"> </w:t>
      </w:r>
      <w:r w:rsidR="00042061">
        <w:t>above</w:t>
      </w:r>
      <w:r w:rsidR="00587326">
        <w:t xml:space="preserve"> will be</w:t>
      </w:r>
      <w:r w:rsidR="00AF4E2D">
        <w:t xml:space="preserve"> multiplied by </w:t>
      </w:r>
      <w:r w:rsidR="009200A5">
        <w:t xml:space="preserve">a </w:t>
      </w:r>
      <w:r w:rsidR="00C7781F">
        <w:t xml:space="preserve">sex-specific </w:t>
      </w:r>
      <w:r w:rsidR="00FF5027">
        <w:t>correction</w:t>
      </w:r>
      <w:r w:rsidR="00837BB2">
        <w:t xml:space="preserve">, </w:t>
      </w:r>
      <w:proofErr w:type="spellStart"/>
      <w:r w:rsidR="00837BB2">
        <w:t>weight</w:t>
      </w:r>
      <w:r w:rsidR="00837BB2" w:rsidRPr="00837BB2">
        <w:rPr>
          <w:vertAlign w:val="subscript"/>
        </w:rPr>
        <w:t>m</w:t>
      </w:r>
      <w:proofErr w:type="spellEnd"/>
      <w:r w:rsidR="00837BB2">
        <w:t xml:space="preserve"> or </w:t>
      </w:r>
      <w:proofErr w:type="spellStart"/>
      <w:r w:rsidR="00837BB2">
        <w:t>weight</w:t>
      </w:r>
      <w:r w:rsidR="00837BB2" w:rsidRPr="00837BB2">
        <w:rPr>
          <w:vertAlign w:val="subscript"/>
        </w:rPr>
        <w:t>f</w:t>
      </w:r>
      <w:proofErr w:type="spellEnd"/>
      <w:r w:rsidR="00837BB2">
        <w:t>,</w:t>
      </w:r>
      <w:r w:rsidR="009F0F21">
        <w:t xml:space="preserve"> </w:t>
      </w:r>
      <w:r w:rsidR="009200A5">
        <w:t>to match the</w:t>
      </w:r>
      <w:r w:rsidR="006E7482">
        <w:t xml:space="preserve"> sex-stratified</w:t>
      </w:r>
      <w:r w:rsidR="00EE0675">
        <w:t xml:space="preserve"> employed</w:t>
      </w:r>
      <w:r w:rsidR="009200A5">
        <w:t xml:space="preserve"> </w:t>
      </w:r>
      <w:r w:rsidR="00E92342">
        <w:t xml:space="preserve">working-age population estimated </w:t>
      </w:r>
      <w:r w:rsidR="007969A5">
        <w:t>from</w:t>
      </w:r>
      <w:r w:rsidR="005F6F5B" w:rsidRPr="005F6F5B">
        <w:t xml:space="preserve"> </w:t>
      </w:r>
      <w:r w:rsidR="005F6F5B">
        <w:t xml:space="preserve">ACS </w:t>
      </w:r>
      <w:r w:rsidR="00EE0675">
        <w:t>2020-2023</w:t>
      </w:r>
      <w:r w:rsidR="00E92342">
        <w:t>.</w:t>
      </w:r>
      <w:r w:rsidR="000A6B3E">
        <w:t xml:space="preserve"> The ACS 2020-2023 average population estimation</w:t>
      </w:r>
      <w:r w:rsidR="004A122F">
        <w:t xml:space="preserve"> will</w:t>
      </w:r>
      <w:r w:rsidR="000A6B3E">
        <w:t xml:space="preserve"> </w:t>
      </w:r>
      <w:r w:rsidR="00694C20">
        <w:t xml:space="preserve">include only employed working-age civilians who </w:t>
      </w:r>
      <w:r w:rsidR="004A122F">
        <w:t>live in states</w:t>
      </w:r>
      <w:r w:rsidR="0089268A">
        <w:t xml:space="preserve"> within </w:t>
      </w:r>
      <w:r w:rsidR="0015314C">
        <w:t xml:space="preserve">a Vital Statistics </w:t>
      </w:r>
      <w:r w:rsidR="0089268A">
        <w:t>jurisdiction</w:t>
      </w:r>
      <w:r w:rsidR="0015314C">
        <w:t xml:space="preserve"> in each respective year.</w:t>
      </w:r>
      <w:r w:rsidR="00851711">
        <w:t xml:space="preserve"> </w:t>
      </w:r>
      <w:proofErr w:type="gramStart"/>
      <w:r w:rsidR="00851711">
        <w:t>Thus</w:t>
      </w:r>
      <w:proofErr w:type="gramEnd"/>
      <w:r w:rsidR="00851711">
        <w:t xml:space="preserve"> the following states will be excluded from calculating the </w:t>
      </w:r>
      <w:r w:rsidR="00FF5027">
        <w:t>correction factor</w:t>
      </w:r>
      <w:r w:rsidR="00851711">
        <w:t>:</w:t>
      </w:r>
    </w:p>
    <w:p w14:paraId="298A7566" w14:textId="6ADA6156" w:rsidR="0084168D" w:rsidRPr="0084168D" w:rsidRDefault="0084168D" w:rsidP="0084168D">
      <w:pPr>
        <w:pStyle w:val="ListParagraph"/>
        <w:numPr>
          <w:ilvl w:val="0"/>
          <w:numId w:val="3"/>
        </w:numPr>
      </w:pPr>
      <w:r w:rsidRPr="0084168D">
        <w:t xml:space="preserve">2020 </w:t>
      </w:r>
      <w:r>
        <w:t>exclusion:</w:t>
      </w:r>
      <w:r w:rsidRPr="0084168D">
        <w:t xml:space="preserve"> Iowa, Arizona, North Carolina, Rhode Island, and Washington, D.C.</w:t>
      </w:r>
    </w:p>
    <w:p w14:paraId="3FC68EEA" w14:textId="02017050" w:rsidR="0084168D" w:rsidRPr="0084168D" w:rsidRDefault="0084168D" w:rsidP="0084168D">
      <w:pPr>
        <w:pStyle w:val="ListParagraph"/>
        <w:numPr>
          <w:ilvl w:val="0"/>
          <w:numId w:val="3"/>
        </w:numPr>
      </w:pPr>
      <w:r w:rsidRPr="0084168D">
        <w:t xml:space="preserve">2021 </w:t>
      </w:r>
      <w:r>
        <w:t xml:space="preserve">exclusion: </w:t>
      </w:r>
      <w:r w:rsidRPr="0084168D">
        <w:t>Rhode Island, and Washington, D.C.</w:t>
      </w:r>
    </w:p>
    <w:p w14:paraId="04F97FBF" w14:textId="6EE36CB0" w:rsidR="00851711" w:rsidRDefault="0084168D" w:rsidP="00121453">
      <w:pPr>
        <w:pStyle w:val="ListParagraph"/>
        <w:numPr>
          <w:ilvl w:val="0"/>
          <w:numId w:val="3"/>
        </w:numPr>
      </w:pPr>
      <w:r>
        <w:t>2022-2023 exclusion: none</w:t>
      </w:r>
      <w:r w:rsidR="00E92342">
        <w:t xml:space="preserve"> </w:t>
      </w:r>
    </w:p>
    <w:p w14:paraId="3C9B28C4" w14:textId="34FCF275" w:rsidR="00614EE1" w:rsidRDefault="00587326" w:rsidP="00F82E0F">
      <w:r>
        <w:t xml:space="preserve">The </w:t>
      </w:r>
      <w:r w:rsidR="008847A3">
        <w:t xml:space="preserve">weight for </w:t>
      </w:r>
      <w:r w:rsidR="002A5E6D">
        <w:t>males</w:t>
      </w:r>
      <w:r w:rsidR="008847A3">
        <w:t xml:space="preserve"> will be the number of 20-64</w:t>
      </w:r>
      <w:r w:rsidR="00123B0D">
        <w:t>-</w:t>
      </w:r>
      <w:r w:rsidR="008847A3">
        <w:t>year</w:t>
      </w:r>
      <w:r w:rsidR="00123B0D">
        <w:t>-</w:t>
      </w:r>
      <w:r w:rsidR="008847A3">
        <w:t xml:space="preserve">old </w:t>
      </w:r>
      <w:r w:rsidR="009E64F0">
        <w:t xml:space="preserve">employed </w:t>
      </w:r>
      <w:r w:rsidR="002A5E6D">
        <w:t>males</w:t>
      </w:r>
      <w:r w:rsidR="008847A3">
        <w:t xml:space="preserve"> in the </w:t>
      </w:r>
      <w:r w:rsidR="005D4509">
        <w:t xml:space="preserve">ACS </w:t>
      </w:r>
      <w:r w:rsidR="00BF1482">
        <w:t xml:space="preserve">summed </w:t>
      </w:r>
      <w:r w:rsidR="005D4509">
        <w:t xml:space="preserve">between 2020 and 2023 </w:t>
      </w:r>
      <w:r w:rsidR="002A5E6D">
        <w:t>divided by the</w:t>
      </w:r>
      <w:r w:rsidR="005D4509">
        <w:t xml:space="preserve"> annually (2020-2023) summed</w:t>
      </w:r>
      <w:r w:rsidR="002B6C6A">
        <w:t xml:space="preserve"> </w:t>
      </w:r>
      <w:r w:rsidR="005D4509">
        <w:t>historical cohort</w:t>
      </w:r>
      <w:r w:rsidR="002A5E6D">
        <w:t xml:space="preserve"> </w:t>
      </w:r>
      <w:r w:rsidR="005005B7">
        <w:t xml:space="preserve">of </w:t>
      </w:r>
      <w:r w:rsidR="00A72613">
        <w:t>20-64</w:t>
      </w:r>
      <w:r w:rsidR="00123B0D">
        <w:t>-</w:t>
      </w:r>
      <w:r w:rsidR="00A72613">
        <w:t>year</w:t>
      </w:r>
      <w:r w:rsidR="00123B0D">
        <w:t>-</w:t>
      </w:r>
      <w:r w:rsidR="00A72613">
        <w:t>old males</w:t>
      </w:r>
      <w:r w:rsidR="002B6C6A">
        <w:t xml:space="preserve">. </w:t>
      </w:r>
      <w:r w:rsidR="006D4DA1">
        <w:t>Similarly, the weight for females will be the</w:t>
      </w:r>
      <w:r w:rsidR="0004369D">
        <w:t xml:space="preserve"> </w:t>
      </w:r>
      <w:r w:rsidR="006D4DA1">
        <w:t xml:space="preserve">number of working age </w:t>
      </w:r>
      <w:r w:rsidR="00D8713C">
        <w:t xml:space="preserve">employed </w:t>
      </w:r>
      <w:r w:rsidR="006D4DA1">
        <w:t xml:space="preserve">females in the </w:t>
      </w:r>
      <w:r w:rsidR="005D4509">
        <w:t xml:space="preserve">ACS </w:t>
      </w:r>
      <w:r w:rsidR="00BF1482">
        <w:t xml:space="preserve">summed </w:t>
      </w:r>
      <w:r w:rsidR="005D4509">
        <w:t xml:space="preserve">between 2020 and 2023 divided by the annually (2020-2023) summed historical cohort of </w:t>
      </w:r>
      <w:r w:rsidR="006D4DA1">
        <w:t>working age females</w:t>
      </w:r>
      <w:r w:rsidR="002049C9">
        <w:t>.</w:t>
      </w:r>
      <w:r w:rsidR="00BF1C95">
        <w:t xml:space="preserve"> </w:t>
      </w:r>
    </w:p>
    <w:p w14:paraId="4E0F0515" w14:textId="4F388CD0" w:rsidR="00AB4C5F" w:rsidRPr="00AB4C5F" w:rsidRDefault="00000000" w:rsidP="00AB4C5F">
      <m:oMathPara>
        <m:oMath>
          <m:sSub>
            <m:sSubPr>
              <m:ctrlPr>
                <w:rPr>
                  <w:rFonts w:ascii="Cambria Math" w:hAnsi="Cambria Math"/>
                  <w:i/>
                </w:rPr>
              </m:ctrlPr>
            </m:sSubPr>
            <m:e>
              <m:r>
                <w:rPr>
                  <w:rFonts w:ascii="Cambria Math" w:hAnsi="Cambria Math"/>
                </w:rPr>
                <m:t>Weight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Number of 20 to 64 year olds employed males from ACS 2020-2023 estimation</m:t>
              </m:r>
            </m:num>
            <m:den>
              <m:nary>
                <m:naryPr>
                  <m:chr m:val="∑"/>
                  <m:limLoc m:val="subSup"/>
                  <m:supHide m:val="1"/>
                  <m:ctrlPr>
                    <w:rPr>
                      <w:rFonts w:ascii="Cambria Math" w:hAnsi="Cambria Math"/>
                      <w:i/>
                    </w:rPr>
                  </m:ctrlPr>
                </m:naryPr>
                <m:sub>
                  <m:r>
                    <w:rPr>
                      <w:rFonts w:ascii="Cambria Math" w:hAnsi="Cambria Math"/>
                    </w:rPr>
                    <m:t>i∈O</m:t>
                  </m:r>
                </m:sub>
                <m:sup/>
                <m:e>
                  <m:nary>
                    <m:naryPr>
                      <m:chr m:val="∑"/>
                      <m:limLoc m:val="undOvr"/>
                      <m:ctrlPr>
                        <w:rPr>
                          <w:rFonts w:ascii="Cambria Math" w:hAnsi="Cambria Math"/>
                          <w:i/>
                        </w:rPr>
                      </m:ctrlPr>
                    </m:naryPr>
                    <m:sub>
                      <m:r>
                        <w:rPr>
                          <w:rFonts w:ascii="Cambria Math" w:hAnsi="Cambria Math"/>
                        </w:rPr>
                        <m:t>y=2020</m:t>
                      </m:r>
                    </m:sub>
                    <m:sup>
                      <m:r>
                        <w:rPr>
                          <w:rFonts w:ascii="Cambria Math" w:hAnsi="Cambria Math"/>
                        </w:rPr>
                        <m:t>2023</m:t>
                      </m:r>
                    </m:sup>
                    <m:e>
                      <m:nary>
                        <m:naryPr>
                          <m:chr m:val="∑"/>
                          <m:limLoc m:val="undOvr"/>
                          <m:ctrlPr>
                            <w:rPr>
                              <w:rFonts w:ascii="Cambria Math" w:hAnsi="Cambria Math"/>
                              <w:i/>
                            </w:rPr>
                          </m:ctrlPr>
                        </m:naryPr>
                        <m:sub>
                          <m:r>
                            <w:rPr>
                              <w:rFonts w:ascii="Cambria Math" w:hAnsi="Cambria Math"/>
                            </w:rPr>
                            <m:t>a=20</m:t>
                          </m:r>
                        </m:sub>
                        <m:sup>
                          <m:r>
                            <w:rPr>
                              <w:rFonts w:ascii="Cambria Math" w:hAnsi="Cambria Math"/>
                            </w:rPr>
                            <m:t>64</m:t>
                          </m:r>
                        </m:sup>
                        <m:e>
                          <m:sSub>
                            <m:sSubPr>
                              <m:ctrlPr>
                                <w:rPr>
                                  <w:rFonts w:ascii="Cambria Math" w:hAnsi="Cambria Math"/>
                                  <w:i/>
                                </w:rPr>
                              </m:ctrlPr>
                            </m:sSubPr>
                            <m:e>
                              <m:r>
                                <w:rPr>
                                  <w:rFonts w:ascii="Cambria Math" w:hAnsi="Cambria Math"/>
                                </w:rPr>
                                <m:t>Adjusted males at risk</m:t>
                              </m:r>
                            </m:e>
                            <m:sub>
                              <m:r>
                                <w:rPr>
                                  <w:rFonts w:ascii="Cambria Math" w:hAnsi="Cambria Math"/>
                                </w:rPr>
                                <m:t>a,y,i</m:t>
                              </m:r>
                            </m:sub>
                          </m:sSub>
                        </m:e>
                      </m:nary>
                    </m:e>
                  </m:nary>
                </m:e>
              </m:nary>
            </m:den>
          </m:f>
          <m:r>
            <w:rPr>
              <w:rFonts w:ascii="Cambria Math" w:hAnsi="Cambria Math"/>
            </w:rPr>
            <m:t xml:space="preserve"> </m:t>
          </m:r>
        </m:oMath>
      </m:oMathPara>
    </w:p>
    <w:p w14:paraId="2519AC75" w14:textId="77777777" w:rsidR="007C1D19" w:rsidRPr="007C1D19" w:rsidRDefault="007C1D19" w:rsidP="00F82E0F"/>
    <w:p w14:paraId="2752E5E7" w14:textId="2ED357ED" w:rsidR="003132EB" w:rsidRPr="003132EB" w:rsidRDefault="00000000" w:rsidP="00F82E0F">
      <m:oMathPara>
        <m:oMath>
          <m:sSub>
            <m:sSubPr>
              <m:ctrlPr>
                <w:rPr>
                  <w:rFonts w:ascii="Cambria Math" w:hAnsi="Cambria Math"/>
                  <w:i/>
                </w:rPr>
              </m:ctrlPr>
            </m:sSubPr>
            <m:e>
              <m:r>
                <w:rPr>
                  <w:rFonts w:ascii="Cambria Math" w:hAnsi="Cambria Math"/>
                </w:rPr>
                <m:t>Weight</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Average number of 20 to 64 year olds employed females from ACS 2020-2023 estimation</m:t>
              </m:r>
            </m:num>
            <m:den>
              <m:nary>
                <m:naryPr>
                  <m:chr m:val="∑"/>
                  <m:limLoc m:val="subSup"/>
                  <m:supHide m:val="1"/>
                  <m:ctrlPr>
                    <w:rPr>
                      <w:rFonts w:ascii="Cambria Math" w:hAnsi="Cambria Math"/>
                      <w:i/>
                    </w:rPr>
                  </m:ctrlPr>
                </m:naryPr>
                <m:sub>
                  <m:r>
                    <w:rPr>
                      <w:rFonts w:ascii="Cambria Math" w:hAnsi="Cambria Math"/>
                    </w:rPr>
                    <m:t>i∈O</m:t>
                  </m:r>
                </m:sub>
                <m:sup/>
                <m:e>
                  <m:nary>
                    <m:naryPr>
                      <m:chr m:val="∑"/>
                      <m:limLoc m:val="undOvr"/>
                      <m:ctrlPr>
                        <w:rPr>
                          <w:rFonts w:ascii="Cambria Math" w:hAnsi="Cambria Math"/>
                          <w:i/>
                        </w:rPr>
                      </m:ctrlPr>
                    </m:naryPr>
                    <m:sub>
                      <m:r>
                        <w:rPr>
                          <w:rFonts w:ascii="Cambria Math" w:hAnsi="Cambria Math"/>
                        </w:rPr>
                        <m:t>y=2020</m:t>
                      </m:r>
                    </m:sub>
                    <m:sup>
                      <m:r>
                        <w:rPr>
                          <w:rFonts w:ascii="Cambria Math" w:hAnsi="Cambria Math"/>
                        </w:rPr>
                        <m:t>2023</m:t>
                      </m:r>
                    </m:sup>
                    <m:e>
                      <m:nary>
                        <m:naryPr>
                          <m:chr m:val="∑"/>
                          <m:limLoc m:val="undOvr"/>
                          <m:ctrlPr>
                            <w:rPr>
                              <w:rFonts w:ascii="Cambria Math" w:hAnsi="Cambria Math"/>
                              <w:i/>
                            </w:rPr>
                          </m:ctrlPr>
                        </m:naryPr>
                        <m:sub>
                          <m:r>
                            <w:rPr>
                              <w:rFonts w:ascii="Cambria Math" w:hAnsi="Cambria Math"/>
                            </w:rPr>
                            <m:t>a=20</m:t>
                          </m:r>
                        </m:sub>
                        <m:sup>
                          <m:r>
                            <w:rPr>
                              <w:rFonts w:ascii="Cambria Math" w:hAnsi="Cambria Math"/>
                            </w:rPr>
                            <m:t>64</m:t>
                          </m:r>
                        </m:sup>
                        <m:e>
                          <m:sSub>
                            <m:sSubPr>
                              <m:ctrlPr>
                                <w:rPr>
                                  <w:rFonts w:ascii="Cambria Math" w:hAnsi="Cambria Math"/>
                                  <w:i/>
                                </w:rPr>
                              </m:ctrlPr>
                            </m:sSubPr>
                            <m:e>
                              <m:r>
                                <w:rPr>
                                  <w:rFonts w:ascii="Cambria Math" w:hAnsi="Cambria Math"/>
                                </w:rPr>
                                <m:t>Adjusted males at risk</m:t>
                              </m:r>
                            </m:e>
                            <m:sub>
                              <m:r>
                                <w:rPr>
                                  <w:rFonts w:ascii="Cambria Math" w:hAnsi="Cambria Math"/>
                                </w:rPr>
                                <m:t>a,y,i</m:t>
                              </m:r>
                            </m:sub>
                          </m:sSub>
                        </m:e>
                      </m:nary>
                    </m:e>
                  </m:nary>
                </m:e>
              </m:nary>
            </m:den>
          </m:f>
          <m:r>
            <w:rPr>
              <w:rFonts w:ascii="Cambria Math" w:hAnsi="Cambria Math"/>
            </w:rPr>
            <m:t xml:space="preserve"> </m:t>
          </m:r>
        </m:oMath>
      </m:oMathPara>
    </w:p>
    <w:p w14:paraId="1A06D2AA" w14:textId="4A5CC47A" w:rsidR="00AB4C5F" w:rsidRPr="00AB4C5F" w:rsidRDefault="003132EB" w:rsidP="00F82E0F">
      <m:oMathPara>
        <m:oMath>
          <m:r>
            <w:rPr>
              <w:rFonts w:ascii="Cambria Math" w:hAnsi="Cambria Math"/>
            </w:rPr>
            <m:t>where:o=all possible occupations; y=calendar year;a=age</m:t>
          </m:r>
        </m:oMath>
      </m:oMathPara>
    </w:p>
    <w:p w14:paraId="5D69CF5B" w14:textId="4A4EF1B6" w:rsidR="00FF5027" w:rsidRDefault="00FF5027" w:rsidP="00FF5027">
      <w:r>
        <w:t xml:space="preserve">The mathematical product between the sex-specific </w:t>
      </w:r>
      <w:r w:rsidR="00CA430E">
        <w:t xml:space="preserve">correction factor </w:t>
      </w:r>
      <w:r>
        <w:t>and stratum-specific observed denominator will be the final denominator used for each age-, sex, and occupation-specific strata</w:t>
      </w:r>
      <w:r w:rsidR="00CA430E">
        <w:t xml:space="preserve"> (below)</w:t>
      </w:r>
      <w:r>
        <w:t>.</w:t>
      </w:r>
    </w:p>
    <w:p w14:paraId="5C60147F" w14:textId="77777777" w:rsidR="002E08F3" w:rsidRDefault="002E08F3" w:rsidP="00FF5027"/>
    <w:p w14:paraId="2F2FFB67" w14:textId="66EE4213" w:rsidR="00AE0C76" w:rsidRPr="00AE0C76" w:rsidRDefault="00AE0C76" w:rsidP="00FC3842">
      <w:pPr>
        <w:pStyle w:val="Heading2"/>
      </w:pPr>
      <w:r w:rsidRPr="00AE0C76">
        <w:t>Statistical analysis</w:t>
      </w:r>
    </w:p>
    <w:p w14:paraId="461BDBB9" w14:textId="73DC779A" w:rsidR="00590CB4" w:rsidRPr="00590CB4" w:rsidRDefault="00223CCB" w:rsidP="00F74933">
      <w:pPr>
        <w:pStyle w:val="Heading3"/>
      </w:pPr>
      <w:r>
        <w:t>Age-adjusted m</w:t>
      </w:r>
      <w:r w:rsidR="00590CB4">
        <w:t>ortality rates</w:t>
      </w:r>
    </w:p>
    <w:p w14:paraId="0F459A41" w14:textId="3911CF35" w:rsidR="0070045D" w:rsidRDefault="00541BEB" w:rsidP="0070045D">
      <w:r>
        <w:t xml:space="preserve">The primary outcome will be </w:t>
      </w:r>
      <w:r w:rsidR="003B713E">
        <w:t xml:space="preserve">age-adjusted </w:t>
      </w:r>
      <w:r>
        <w:t>cancer</w:t>
      </w:r>
      <w:r w:rsidR="003B713E">
        <w:t xml:space="preserve"> mortality rates calculated for </w:t>
      </w:r>
      <w:r w:rsidR="003B713E" w:rsidRPr="00543D60">
        <w:rPr>
          <w:u w:val="single"/>
        </w:rPr>
        <w:t>each sex and occupation</w:t>
      </w:r>
      <w:r w:rsidR="003B713E">
        <w:t xml:space="preserve">. </w:t>
      </w:r>
      <w:r w:rsidR="00223CCB">
        <w:t>We will use the direct adjustment method where</w:t>
      </w:r>
      <w:r w:rsidR="00C133EA">
        <w:t xml:space="preserve">, first, </w:t>
      </w:r>
      <w:r w:rsidR="00223CCB">
        <w:t>deaths</w:t>
      </w:r>
      <w:r w:rsidR="00223CCB" w:rsidDel="00223CCB">
        <w:t xml:space="preserve"> </w:t>
      </w:r>
      <w:r w:rsidR="00223CCB">
        <w:t>(</w:t>
      </w:r>
      <w:r w:rsidR="00AD27EB">
        <w:t>n</w:t>
      </w:r>
      <w:r w:rsidR="00D12204" w:rsidRPr="00BC64E5">
        <w:t>umerators</w:t>
      </w:r>
      <w:r w:rsidR="00223CCB">
        <w:t>)</w:t>
      </w:r>
      <w:r w:rsidR="00D12204" w:rsidRPr="00BC64E5">
        <w:t xml:space="preserve">and </w:t>
      </w:r>
      <w:r w:rsidR="00223CCB">
        <w:t>employed (</w:t>
      </w:r>
      <w:r w:rsidR="00D12204" w:rsidRPr="00BC64E5">
        <w:t>denominators</w:t>
      </w:r>
      <w:r w:rsidR="00223CCB">
        <w:t>)</w:t>
      </w:r>
      <w:r w:rsidR="00D12204" w:rsidRPr="00BC64E5">
        <w:t xml:space="preserve"> </w:t>
      </w:r>
      <w:r w:rsidR="003B713E">
        <w:t>will be</w:t>
      </w:r>
      <w:r w:rsidR="00D12204" w:rsidRPr="00BC64E5">
        <w:t xml:space="preserve"> </w:t>
      </w:r>
      <w:r w:rsidR="00223CCB">
        <w:t xml:space="preserve">separately </w:t>
      </w:r>
      <w:r w:rsidR="00D12204" w:rsidRPr="00BC64E5">
        <w:t xml:space="preserve">summed over </w:t>
      </w:r>
      <w:r w:rsidR="00FB2643">
        <w:t>the years of 2020-202</w:t>
      </w:r>
      <w:r w:rsidR="007950FE">
        <w:t>3</w:t>
      </w:r>
      <w:r w:rsidR="0023329E">
        <w:t>.</w:t>
      </w:r>
      <w:r w:rsidR="001B0AEE">
        <w:t xml:space="preserve"> </w:t>
      </w:r>
      <w:r w:rsidR="00C7417C">
        <w:t>A</w:t>
      </w:r>
      <w:r w:rsidR="009A235F">
        <w:t>ge-adjusted death rates</w:t>
      </w:r>
      <w:r w:rsidR="00C7417C">
        <w:t xml:space="preserve"> were calculated using </w:t>
      </w:r>
      <w:r w:rsidR="00D12204" w:rsidRPr="00BC64E5">
        <w:t>standardized</w:t>
      </w:r>
      <w:r w:rsidR="00C7417C">
        <w:t>, five-year</w:t>
      </w:r>
      <w:r w:rsidR="00D12204" w:rsidRPr="00BC64E5">
        <w:t xml:space="preserve"> age group</w:t>
      </w:r>
      <w:r w:rsidR="00C7417C">
        <w:t xml:space="preserve">s (20-24, 25-29, …, 60-64) </w:t>
      </w:r>
      <w:r w:rsidR="004F0A39">
        <w:t>f</w:t>
      </w:r>
      <w:r w:rsidR="00D12204" w:rsidRPr="00BC64E5">
        <w:t xml:space="preserve">rom </w:t>
      </w:r>
      <w:r w:rsidR="00C7417C">
        <w:t>the Surveillance Epidemiology and End Results (SEER) program</w:t>
      </w:r>
      <w:r w:rsidR="00D12204" w:rsidRPr="00BC64E5">
        <w:t>.</w:t>
      </w:r>
      <w:r w:rsidR="00BE1723">
        <w:t xml:space="preserve"> </w:t>
      </w:r>
      <w:r w:rsidR="00C7417C">
        <w:t>Age-adjusted m</w:t>
      </w:r>
      <w:r w:rsidR="00AE0C76">
        <w:t>ortality rate</w:t>
      </w:r>
      <w:r w:rsidR="00C7417C">
        <w:t>s</w:t>
      </w:r>
      <w:r w:rsidR="00931627">
        <w:t xml:space="preserve"> </w:t>
      </w:r>
      <w:r w:rsidR="00C7417C">
        <w:t xml:space="preserve">will be </w:t>
      </w:r>
      <w:r w:rsidR="00AE0C76">
        <w:t>calculated as</w:t>
      </w:r>
      <w:r w:rsidR="002F1D12">
        <w:t xml:space="preserve"> </w:t>
      </w:r>
      <w:r w:rsidR="00C7417C">
        <w:t xml:space="preserve">the </w:t>
      </w:r>
      <w:r w:rsidR="002F1D12">
        <w:t>weighted sum of t</w:t>
      </w:r>
      <w:r w:rsidR="00AE0C76">
        <w:t>he</w:t>
      </w:r>
      <w:r w:rsidR="002F1D12">
        <w:t xml:space="preserve"> age</w:t>
      </w:r>
      <w:r w:rsidR="00C7417C">
        <w:t xml:space="preserve"> group</w:t>
      </w:r>
      <w:r w:rsidR="002F1D12">
        <w:t>-specific</w:t>
      </w:r>
      <w:r w:rsidR="00AE0C76">
        <w:t xml:space="preserve"> </w:t>
      </w:r>
      <w:r w:rsidR="00C7417C">
        <w:t>rates</w:t>
      </w:r>
      <w:r w:rsidR="00D676AF">
        <w:t xml:space="preserve"> and presented per 100,000 </w:t>
      </w:r>
      <w:proofErr w:type="gramStart"/>
      <w:r w:rsidR="00D676AF">
        <w:t>persons</w:t>
      </w:r>
      <w:proofErr w:type="gramEnd"/>
      <w:r w:rsidR="00D676AF">
        <w:t>.</w:t>
      </w:r>
    </w:p>
    <w:p w14:paraId="6A14BB72" w14:textId="58DEB605" w:rsidR="008B5972" w:rsidRPr="008B5972" w:rsidRDefault="002A5B50" w:rsidP="0070045D">
      <w:r w:rsidRPr="003842ED">
        <w:rPr>
          <w:u w:val="single"/>
        </w:rPr>
        <w:t>Sex- and occupation-specific</w:t>
      </w:r>
      <w:r>
        <w:t xml:space="preserve"> m</w:t>
      </w:r>
      <w:r w:rsidR="00CC6688">
        <w:t xml:space="preserve">ortality rate = </w:t>
      </w:r>
      <w:r w:rsidR="001F77D3">
        <w:t xml:space="preserve"> </w:t>
      </w:r>
      <m:oMath>
        <m:nary>
          <m:naryPr>
            <m:chr m:val="∑"/>
            <m:limLoc m:val="subSup"/>
            <m:supHide m:val="1"/>
            <m:ctrlPr>
              <w:rPr>
                <w:rFonts w:ascii="Cambria Math" w:hAnsi="Cambria Math"/>
                <w:i/>
              </w:rPr>
            </m:ctrlPr>
          </m:naryPr>
          <m:sub>
            <m:r>
              <w:rPr>
                <w:rFonts w:ascii="Cambria Math" w:hAnsi="Cambria Math"/>
              </w:rPr>
              <m:t>i∈g</m:t>
            </m:r>
          </m:sub>
          <m:sup/>
          <m:e>
            <m:f>
              <m:fPr>
                <m:ctrlPr>
                  <w:rPr>
                    <w:rFonts w:ascii="Cambria Math" w:hAnsi="Cambria Math"/>
                    <w:i/>
                  </w:rPr>
                </m:ctrlPr>
              </m:fPr>
              <m:num>
                <m:sSub>
                  <m:sSubPr>
                    <m:ctrlPr>
                      <w:rPr>
                        <w:rFonts w:ascii="Cambria Math" w:hAnsi="Cambria Math"/>
                        <w:i/>
                      </w:rPr>
                    </m:ctrlPr>
                  </m:sSubPr>
                  <m:e>
                    <m:r>
                      <w:rPr>
                        <w:rFonts w:ascii="Cambria Math" w:hAnsi="Cambria Math"/>
                      </w:rPr>
                      <m:t>Cancer deaths</m:t>
                    </m:r>
                  </m:e>
                  <m:sub>
                    <m:r>
                      <w:rPr>
                        <w:rFonts w:ascii="Cambria Math" w:hAnsi="Cambria Math"/>
                      </w:rPr>
                      <m:t>i</m:t>
                    </m:r>
                  </m:sub>
                </m:sSub>
              </m:num>
              <m:den>
                <m:sSub>
                  <m:sSubPr>
                    <m:ctrlPr>
                      <w:rPr>
                        <w:rFonts w:ascii="Cambria Math" w:hAnsi="Cambria Math"/>
                        <w:i/>
                      </w:rPr>
                    </m:ctrlPr>
                  </m:sSubPr>
                  <m:e>
                    <m:r>
                      <w:rPr>
                        <w:rFonts w:ascii="Cambria Math" w:hAnsi="Cambria Math"/>
                      </w:rPr>
                      <m:t>Population at risk</m:t>
                    </m:r>
                  </m:e>
                  <m:sub>
                    <m:r>
                      <w:rPr>
                        <w:rFonts w:ascii="Cambria Math" w:hAnsi="Cambria Math"/>
                      </w:rPr>
                      <m:t>i</m:t>
                    </m:r>
                  </m:sub>
                </m:sSub>
                <m:r>
                  <w:rPr>
                    <w:rFonts w:ascii="Cambria Math" w:hAnsi="Cambria Math"/>
                  </w:rPr>
                  <m:t xml:space="preserve"> </m:t>
                </m:r>
              </m:den>
            </m:f>
            <m:r>
              <w:rPr>
                <w:rFonts w:ascii="Cambria Math" w:hAnsi="Cambria Math"/>
              </w:rPr>
              <m:t>*age weight</m:t>
            </m:r>
          </m:e>
        </m:nary>
      </m:oMath>
    </w:p>
    <w:p w14:paraId="2F82D601" w14:textId="51B2949A" w:rsidR="00CC6688" w:rsidRDefault="008B5972" w:rsidP="0070045D">
      <m:oMathPara>
        <m:oMath>
          <m:r>
            <w:rPr>
              <w:rFonts w:ascii="Cambria Math" w:hAnsi="Cambria Math"/>
            </w:rPr>
            <m:t>where g=standard age groups from SEER</m:t>
          </m:r>
        </m:oMath>
      </m:oMathPara>
    </w:p>
    <w:p w14:paraId="147F1549" w14:textId="54769FC8" w:rsidR="00BF7C40" w:rsidRDefault="000D3DAF" w:rsidP="00BE7D30">
      <w:r>
        <w:t xml:space="preserve">Age </w:t>
      </w:r>
      <w:r w:rsidR="00C520F3">
        <w:t>strata</w:t>
      </w:r>
      <w:r w:rsidR="00CF3233">
        <w:t xml:space="preserve"> </w:t>
      </w:r>
      <w:r w:rsidR="00C7417C">
        <w:t xml:space="preserve">weights </w:t>
      </w:r>
      <w:r w:rsidR="00CF3233">
        <w:t xml:space="preserve">will </w:t>
      </w:r>
      <w:r w:rsidR="00C7417C">
        <w:t xml:space="preserve">use </w:t>
      </w:r>
      <w:r w:rsidR="00CA66DC">
        <w:t xml:space="preserve">the 2000 </w:t>
      </w:r>
      <w:r>
        <w:t>SEER</w:t>
      </w:r>
      <w:r w:rsidR="00CA66DC">
        <w:t xml:space="preserve"> standard million proportions </w:t>
      </w:r>
      <w:r w:rsidR="00C7417C">
        <w:t>rescaled to</w:t>
      </w:r>
      <w:r w:rsidR="00C520F3">
        <w:t xml:space="preserve"> </w:t>
      </w:r>
      <w:r w:rsidR="00C7417C">
        <w:t xml:space="preserve">weights of </w:t>
      </w:r>
      <w:r w:rsidR="00C520F3">
        <w:t>age group</w:t>
      </w:r>
      <w:r w:rsidR="00C7417C">
        <w:t xml:space="preserve">s between 20 and 64 years </w:t>
      </w:r>
      <w:r w:rsidR="00642158">
        <w:t xml:space="preserve">so that rates are comparable to age-adjusted rates of other populations </w:t>
      </w:r>
      <w:r w:rsidR="00C7417C">
        <w:t xml:space="preserve">(i.e., </w:t>
      </w:r>
      <w:r w:rsidR="00FF5618">
        <w:t xml:space="preserve">ensuring that </w:t>
      </w:r>
      <w:r w:rsidR="00C7417C">
        <w:t>age group weights sum to 1.0)</w:t>
      </w:r>
      <w:r w:rsidR="00F63D38">
        <w:t>.</w:t>
      </w:r>
      <w:r w:rsidR="00F63D38">
        <w:fldChar w:fldCharType="begin"/>
      </w:r>
      <w:r w:rsidR="00806AA3">
        <w:instrText xml:space="preserve"> ADDIN EN.CITE &lt;EndNote&gt;&lt;Cite&gt;&lt;Author&gt;National Cancer&lt;/Author&gt;&lt;Year&gt;2010&lt;/Year&gt;&lt;RecNum&gt;915&lt;/RecNum&gt;&lt;DisplayText&gt;&lt;style face="superscript"&gt;9&lt;/style&gt;&lt;/DisplayText&gt;&lt;record&gt;&lt;rec-number&gt;915&lt;/rec-number&gt;&lt;foreign-keys&gt;&lt;key app="EN" db-id="wtwx02spurzfa5edvs55detsvsrfdvt9tepv" timestamp="0"&gt;915&lt;/key&gt;&lt;/foreign-keys&gt;&lt;ref-type name="Personal Communication"&gt;26&lt;/ref-type&gt;&lt;contributors&gt;&lt;authors&gt;&lt;author&gt;National Cancer, Institute&lt;/author&gt;&lt;/authors&gt;&lt;/contributors&gt;&lt;titles&gt;&lt;title&gt;Surveillance Epidemiology and End Results&lt;/title&gt;&lt;/titles&gt;&lt;volume&gt;2013&lt;/volume&gt;&lt;dates&gt;&lt;year&gt;2010&lt;/year&gt;&lt;/dates&gt;&lt;publisher&gt;Cancer Statistics Branch Surveillance Research Program. Division of Cancer Control and Population Sciences. National Cancer Institute&lt;/publisher&gt;&lt;urls&gt;&lt;related-urls&gt;&lt;url&gt;http://seer.cancer.gov/about&lt;/url&gt;&lt;/related-urls&gt;&lt;/urls&gt;&lt;/record&gt;&lt;/Cite&gt;&lt;/EndNote&gt;</w:instrText>
      </w:r>
      <w:r w:rsidR="00F63D38">
        <w:fldChar w:fldCharType="separate"/>
      </w:r>
      <w:r w:rsidR="00806AA3" w:rsidRPr="00806AA3">
        <w:rPr>
          <w:noProof/>
          <w:vertAlign w:val="superscript"/>
        </w:rPr>
        <w:t>9</w:t>
      </w:r>
      <w:r w:rsidR="00F63D38">
        <w:fldChar w:fldCharType="end"/>
      </w:r>
    </w:p>
    <w:p w14:paraId="7483CFED" w14:textId="364B22C5" w:rsidR="00CB7703" w:rsidRDefault="00BF7C40" w:rsidP="0070045D">
      <w:r>
        <w:t xml:space="preserve">Crude mortality rates </w:t>
      </w:r>
      <w:r w:rsidR="009F42F2">
        <w:t>will</w:t>
      </w:r>
      <w:r>
        <w:t xml:space="preserve"> also </w:t>
      </w:r>
      <w:r w:rsidR="00FF25FF">
        <w:t xml:space="preserve">be presented based on the quotient of </w:t>
      </w:r>
      <w:r w:rsidR="009F267A">
        <w:t xml:space="preserve">sex- and occupation-specific deaths </w:t>
      </w:r>
      <w:r w:rsidR="00AE0C5F">
        <w:t xml:space="preserve">sex- and occupation-specific </w:t>
      </w:r>
      <w:r w:rsidR="00FF25FF">
        <w:t xml:space="preserve">employed </w:t>
      </w:r>
      <w:r w:rsidR="001824D1">
        <w:t>and presented as per 100,000 persons</w:t>
      </w:r>
      <w:r w:rsidR="001A22B7">
        <w:t xml:space="preserve">. </w:t>
      </w:r>
    </w:p>
    <w:p w14:paraId="0AE17E34" w14:textId="72A122CE" w:rsidR="00BE7D30" w:rsidRDefault="00BE7D30" w:rsidP="00BE7D30">
      <w:r>
        <w:t>The confidence intervals for</w:t>
      </w:r>
      <w:r w:rsidR="00D00A03">
        <w:t xml:space="preserve"> </w:t>
      </w:r>
      <w:r w:rsidR="00806AA3">
        <w:t xml:space="preserve">age-adjusted </w:t>
      </w:r>
      <w:r w:rsidR="00806AA3" w:rsidRPr="006124B9">
        <w:t xml:space="preserve">mortality rates </w:t>
      </w:r>
      <w:r w:rsidR="007755F2">
        <w:t>will be</w:t>
      </w:r>
      <w:r w:rsidR="00806AA3" w:rsidRPr="006124B9">
        <w:t xml:space="preserve"> calculated using the</w:t>
      </w:r>
      <w:r w:rsidR="00806AA3">
        <w:t xml:space="preserve"> Tiwari method based on modified gamma distribution intervals, as implemented in US-wide cancer surveillance systems</w:t>
      </w:r>
      <w:r w:rsidR="008C2B08">
        <w:t>.</w:t>
      </w:r>
      <w:r w:rsidR="008C2B08">
        <w:fldChar w:fldCharType="begin"/>
      </w:r>
      <w:r w:rsidR="00806AA3">
        <w:instrText xml:space="preserve"> ADDIN EN.CITE &lt;EndNote&gt;&lt;Cite&gt;&lt;Author&gt;Tiwari&lt;/Author&gt;&lt;Year&gt;2006&lt;/Year&gt;&lt;RecNum&gt;5462&lt;/RecNum&gt;&lt;DisplayText&gt;&lt;style face="superscript"&gt;10&lt;/style&gt;&lt;/DisplayText&gt;&lt;record&gt;&lt;rec-number&gt;5462&lt;/rec-number&gt;&lt;foreign-keys&gt;&lt;key app="EN" db-id="wtwx02spurzfa5edvs55detsvsrfdvt9tepv" timestamp="1756251046"&gt;5462&lt;/key&gt;&lt;/foreign-keys&gt;&lt;ref-type name="Journal Article"&gt;17&lt;/ref-type&gt;&lt;contributors&gt;&lt;authors&gt;&lt;author&gt;Tiwari, R. C.&lt;/author&gt;&lt;author&gt;Clegg, L. X.&lt;/author&gt;&lt;author&gt;Zou, Z.&lt;/author&gt;&lt;/authors&gt;&lt;/contributors&gt;&lt;auth-address&gt;National Cancer Institute, NIH, Bethesda, MD, USA.&lt;/auth-address&gt;&lt;titles&gt;&lt;title&gt;Efficient interval estimation for age-adjusted cancer rates&lt;/title&gt;&lt;secondary-title&gt;Stat Methods Med Res&lt;/secondary-title&gt;&lt;/titles&gt;&lt;periodical&gt;&lt;full-title&gt;Stat Methods Med Res&lt;/full-title&gt;&lt;/periodical&gt;&lt;pages&gt;547-69&lt;/pages&gt;&lt;volume&gt;15&lt;/volume&gt;&lt;number&gt;6&lt;/number&gt;&lt;keywords&gt;&lt;keyword&gt;Age Factors&lt;/keyword&gt;&lt;keyword&gt;Computer Simulation&lt;/keyword&gt;&lt;keyword&gt;Confidence Intervals&lt;/keyword&gt;&lt;keyword&gt;Health&lt;/keyword&gt;&lt;keyword&gt;Humans&lt;/keyword&gt;&lt;keyword&gt;Models, Statistical&lt;/keyword&gt;&lt;keyword&gt;Monte Carlo Method&lt;/keyword&gt;&lt;keyword&gt;Risk&lt;/keyword&gt;&lt;keyword&gt;*Risk Adjustment&lt;/keyword&gt;&lt;keyword&gt;Risk Assessment&lt;/keyword&gt;&lt;keyword&gt;Tongue Neoplasms/*epidemiology/mortality&lt;/keyword&gt;&lt;keyword&gt;United States/epidemiology&lt;/keyword&gt;&lt;/keywords&gt;&lt;dates&gt;&lt;year&gt;2006&lt;/year&gt;&lt;pub-dates&gt;&lt;date&gt;Dec&lt;/date&gt;&lt;/pub-dates&gt;&lt;/dates&gt;&lt;isbn&gt;0962-2802 (Print)&amp;#xD;0962-2802 (Linking)&lt;/isbn&gt;&lt;accession-num&gt;17260923&lt;/accession-num&gt;&lt;urls&gt;&lt;related-urls&gt;&lt;url&gt;https://www.ncbi.nlm.nih.gov/pubmed/17260923&lt;/url&gt;&lt;/related-urls&gt;&lt;/urls&gt;&lt;electronic-resource-num&gt;10.1177/0962280206070621&lt;/electronic-resource-num&gt;&lt;remote-database-name&gt;Medline&lt;/remote-database-name&gt;&lt;remote-database-provider&gt;NLM&lt;/remote-database-provider&gt;&lt;/record&gt;&lt;/Cite&gt;&lt;/EndNote&gt;</w:instrText>
      </w:r>
      <w:r w:rsidR="008C2B08">
        <w:fldChar w:fldCharType="separate"/>
      </w:r>
      <w:r w:rsidR="00806AA3" w:rsidRPr="00806AA3">
        <w:rPr>
          <w:noProof/>
          <w:vertAlign w:val="superscript"/>
        </w:rPr>
        <w:t>10</w:t>
      </w:r>
      <w:r w:rsidR="008C2B08">
        <w:fldChar w:fldCharType="end"/>
      </w:r>
    </w:p>
    <w:p w14:paraId="1F6B71E9" w14:textId="19AEFE67" w:rsidR="00406E1A" w:rsidRDefault="007755F2" w:rsidP="00D71B4F">
      <w:pPr>
        <w:rPr>
          <w:i/>
          <w:iCs/>
        </w:rPr>
      </w:pPr>
      <w:r>
        <w:t>Any occupation with less than 10 cancer deaths totaled across all four years will be considered unstable and combined into “not elsewhere classified” or “all other” categories within the occupation’s major category. D</w:t>
      </w:r>
      <w:r w:rsidRPr="006C38D2">
        <w:t xml:space="preserve">eaths </w:t>
      </w:r>
      <w:r>
        <w:t xml:space="preserve">by </w:t>
      </w:r>
      <w:r w:rsidRPr="006C38D2">
        <w:t>the 2</w:t>
      </w:r>
      <w:r>
        <w:t>2</w:t>
      </w:r>
      <w:r w:rsidRPr="006C38D2">
        <w:t xml:space="preserve"> cancer site</w:t>
      </w:r>
      <w:r>
        <w:t xml:space="preserve">s will be </w:t>
      </w:r>
      <w:r w:rsidRPr="006C38D2">
        <w:t>identified using ICD-10 disease codes (</w:t>
      </w:r>
      <w:r>
        <w:t>Table S1</w:t>
      </w:r>
      <w:r w:rsidRPr="006C38D2">
        <w:t>)</w:t>
      </w:r>
      <w:r>
        <w:t>,</w:t>
      </w:r>
      <w:r w:rsidRPr="006C38D2">
        <w:t xml:space="preserve"> </w:t>
      </w:r>
      <w:r>
        <w:t xml:space="preserve">and site-specific age-adjusted mortality rates will be calculated by detailed occupation and 23 major occupation categories. We will calculate additional measures in an attempt to understand mortality trends: ranks </w:t>
      </w:r>
      <w:r w:rsidR="00BF7035">
        <w:t xml:space="preserve">(1=highest rate) of all stable rates by detailed occupation and the three occupation categories (see ‘Occupation’ above), </w:t>
      </w:r>
      <w:r>
        <w:t xml:space="preserve">forest plots of highest 50 and lowest 50 overall cancer mortality rates and 95% CIs by sex and occupation with summaries of cancer deaths and population at risk, crude rates for comparison to age-adjusted rates, and two interactive forest plots of cancer mortality rates, ranks, and 95% CIs (Figures S1a </w:t>
      </w:r>
      <w:r>
        <w:lastRenderedPageBreak/>
        <w:t xml:space="preserve">and S1b). Each interactive forest plot </w:t>
      </w:r>
      <w:r w:rsidR="00BF7035">
        <w:t>will be</w:t>
      </w:r>
      <w:r>
        <w:t xml:space="preserve"> organized by sex and detailed occupation, but one </w:t>
      </w:r>
      <w:r w:rsidR="00BF7035">
        <w:t xml:space="preserve">will </w:t>
      </w:r>
      <w:r>
        <w:t xml:space="preserve">display cancer mortality rates by occupation categories (selection 1) and cancer site/type (selection 2), and the other </w:t>
      </w:r>
      <w:r w:rsidR="00BF7035">
        <w:t xml:space="preserve">will </w:t>
      </w:r>
      <w:r>
        <w:t xml:space="preserve">display mortality rates for all cancer sites/types by detailed occupation (selection 1). The former </w:t>
      </w:r>
      <w:r w:rsidR="00BF7035">
        <w:t xml:space="preserve">will </w:t>
      </w:r>
      <w:r>
        <w:t xml:space="preserve">convey trends within sex- and cancer site-specific across occupations (Figure S1a), while the latter </w:t>
      </w:r>
      <w:r w:rsidR="00BF7035">
        <w:t xml:space="preserve">will </w:t>
      </w:r>
      <w:r>
        <w:t xml:space="preserve">summarize cancer site-specific burden for a detailed occupation (Figure S1b). All tables of cancer mortality rates </w:t>
      </w:r>
      <w:r w:rsidR="00BF7035">
        <w:t xml:space="preserve">will </w:t>
      </w:r>
      <w:r>
        <w:t>include average annual deaths as an additional measure of population burden</w:t>
      </w:r>
      <w:r w:rsidR="00BF7035">
        <w:t>.</w:t>
      </w:r>
    </w:p>
    <w:p w14:paraId="76B084C8" w14:textId="05CAEFED" w:rsidR="00F74933" w:rsidRDefault="00C04BA4" w:rsidP="00C04BA4">
      <w:pPr>
        <w:pStyle w:val="Heading3"/>
      </w:pPr>
      <w:r>
        <w:t>Output</w:t>
      </w:r>
    </w:p>
    <w:p w14:paraId="77ECDB9E" w14:textId="3B4794DD" w:rsidR="006D3D88" w:rsidRDefault="00896324" w:rsidP="00D71B4F">
      <w:r>
        <w:t>Despite similar coding, d</w:t>
      </w:r>
      <w:r w:rsidR="00F8377C">
        <w:t xml:space="preserve">ata </w:t>
      </w:r>
      <w:r>
        <w:t xml:space="preserve">used </w:t>
      </w:r>
      <w:r w:rsidR="00F8377C">
        <w:t>for the numerators and denominators were collected</w:t>
      </w:r>
      <w:r>
        <w:t xml:space="preserve"> through separate agencies and denominator data were sampled while numerators are considered a complete counting of deaths. As such,</w:t>
      </w:r>
      <w:r w:rsidR="00F8377C">
        <w:t xml:space="preserve"> </w:t>
      </w:r>
      <w:r>
        <w:t xml:space="preserve">instances of </w:t>
      </w:r>
      <w:r w:rsidR="00B0000B">
        <w:t xml:space="preserve">deaths </w:t>
      </w:r>
      <w:r>
        <w:t xml:space="preserve">recorded to </w:t>
      </w:r>
      <w:r w:rsidR="007F6E50">
        <w:t xml:space="preserve">each </w:t>
      </w:r>
      <w:r w:rsidR="004E485B">
        <w:t xml:space="preserve">sex-age-year- strata </w:t>
      </w:r>
      <w:r>
        <w:t xml:space="preserve">for specific </w:t>
      </w:r>
      <w:r w:rsidR="004E485B">
        <w:t>occupation</w:t>
      </w:r>
      <w:r>
        <w:t>s</w:t>
      </w:r>
      <w:r w:rsidR="004E485B">
        <w:t xml:space="preserve"> that correspond to zero </w:t>
      </w:r>
      <w:r w:rsidR="00B0000B">
        <w:t>estimated population</w:t>
      </w:r>
      <w:r>
        <w:t xml:space="preserve"> </w:t>
      </w:r>
      <w:r w:rsidR="00424AFD">
        <w:t xml:space="preserve">were therefore collapsed into </w:t>
      </w:r>
      <w:r w:rsidR="00D00A03">
        <w:t xml:space="preserve">the </w:t>
      </w:r>
      <w:r w:rsidR="00B0000B">
        <w:t xml:space="preserve">respective </w:t>
      </w:r>
      <w:r w:rsidR="00D00A03">
        <w:t>‘</w:t>
      </w:r>
      <w:r w:rsidR="00B0000B">
        <w:t>not elsewhere classified (NEC)</w:t>
      </w:r>
      <w:r w:rsidR="00D00A03">
        <w:t>’ occupation</w:t>
      </w:r>
      <w:r w:rsidR="00B0000B">
        <w:t xml:space="preserve"> </w:t>
      </w:r>
      <w:r w:rsidR="00D00A03">
        <w:t>category</w:t>
      </w:r>
      <w:r w:rsidR="00B0000B">
        <w:t xml:space="preserve">. The corresponding NEC </w:t>
      </w:r>
      <w:r w:rsidR="00D00A03">
        <w:t xml:space="preserve">category </w:t>
      </w:r>
      <w:r w:rsidR="00B0000B">
        <w:t xml:space="preserve">for </w:t>
      </w:r>
      <w:r w:rsidR="00D00A03">
        <w:t xml:space="preserve">any </w:t>
      </w:r>
      <w:r w:rsidR="00B0000B">
        <w:t>occupation</w:t>
      </w:r>
      <w:r w:rsidR="00D00A03">
        <w:t xml:space="preserve"> within a 23 major 2010 Census Occupation grouping that had more than one NEC category will be </w:t>
      </w:r>
      <w:r w:rsidR="00B0000B">
        <w:t xml:space="preserve">determined by manual review of each occupation and </w:t>
      </w:r>
      <w:r w:rsidR="00D00A03">
        <w:t>typically was the NEC category that followed the occupation in numeric sequence</w:t>
      </w:r>
      <w:r w:rsidR="00B0000B" w:rsidRPr="008F70E2">
        <w:t>.</w:t>
      </w:r>
      <w:r w:rsidR="00B0000B">
        <w:t xml:space="preserve">  </w:t>
      </w:r>
      <w:r w:rsidR="00D00A03">
        <w:t>D</w:t>
      </w:r>
      <w:r w:rsidR="00324B99">
        <w:t>etailed</w:t>
      </w:r>
      <w:r w:rsidR="00545C7E">
        <w:t xml:space="preserve"> occupations with less than 10 </w:t>
      </w:r>
      <w:r w:rsidR="00D00A03">
        <w:t xml:space="preserve">total </w:t>
      </w:r>
      <w:r w:rsidR="00545C7E">
        <w:t>deaths</w:t>
      </w:r>
      <w:r w:rsidR="00D00A03">
        <w:t xml:space="preserve"> are considered statistically unstable and will</w:t>
      </w:r>
      <w:r w:rsidR="000B57A0">
        <w:t xml:space="preserve"> be</w:t>
      </w:r>
      <w:r w:rsidR="00545C7E">
        <w:t xml:space="preserve"> </w:t>
      </w:r>
      <w:r w:rsidR="008326CA">
        <w:t xml:space="preserve">collapsed into </w:t>
      </w:r>
      <w:r w:rsidR="00D00A03">
        <w:t xml:space="preserve">the </w:t>
      </w:r>
      <w:r w:rsidR="008326CA">
        <w:t xml:space="preserve">respective </w:t>
      </w:r>
      <w:r w:rsidR="00ED5BA4">
        <w:t>NEC</w:t>
      </w:r>
      <w:r w:rsidR="00D00A03">
        <w:t xml:space="preserve"> category using the same procedure described above</w:t>
      </w:r>
      <w:r w:rsidR="008326CA">
        <w:t>.</w:t>
      </w:r>
      <w:r w:rsidR="00ED5BA4">
        <w:t xml:space="preserve"> </w:t>
      </w:r>
      <w:r w:rsidR="00F740CA">
        <w:t xml:space="preserve">Detailed occupations </w:t>
      </w:r>
      <w:r w:rsidR="00CC24A5">
        <w:t>will</w:t>
      </w:r>
      <w:r w:rsidR="00F740CA">
        <w:t xml:space="preserve"> also </w:t>
      </w:r>
      <w:r w:rsidR="00C70F69">
        <w:t xml:space="preserve">be </w:t>
      </w:r>
      <w:r w:rsidR="00F740CA">
        <w:t xml:space="preserve">aggregated by </w:t>
      </w:r>
      <w:r w:rsidR="00185608">
        <w:t xml:space="preserve">the </w:t>
      </w:r>
      <w:r w:rsidR="00F740CA">
        <w:t xml:space="preserve">three </w:t>
      </w:r>
      <w:r w:rsidR="00185608">
        <w:t xml:space="preserve">occupation </w:t>
      </w:r>
      <w:r w:rsidR="00F740CA">
        <w:t xml:space="preserve">levels to report </w:t>
      </w:r>
      <w:r w:rsidR="00D71B4F">
        <w:t xml:space="preserve">higher level occupation mortality rates. </w:t>
      </w:r>
    </w:p>
    <w:p w14:paraId="7624D587" w14:textId="6CB25C99" w:rsidR="001E3F26" w:rsidRDefault="00D71B4F" w:rsidP="00D71B4F">
      <w:r>
        <w:t xml:space="preserve">All analyses </w:t>
      </w:r>
      <w:r w:rsidR="006D3D88">
        <w:t>will be</w:t>
      </w:r>
      <w:r>
        <w:t xml:space="preserve"> conducted using SAS version </w:t>
      </w:r>
      <w:r w:rsidR="00A033D7">
        <w:t>9</w:t>
      </w:r>
      <w:r>
        <w:t xml:space="preserve"> and </w:t>
      </w:r>
      <w:r w:rsidR="006D3D88">
        <w:t xml:space="preserve">figures, graphs, including </w:t>
      </w:r>
      <w:r>
        <w:t xml:space="preserve">forest plots </w:t>
      </w:r>
      <w:r w:rsidR="006D3D88">
        <w:t>will be</w:t>
      </w:r>
      <w:r>
        <w:t xml:space="preserve"> generated using R Studio</w:t>
      </w:r>
      <w:r w:rsidR="007E6149">
        <w:t xml:space="preserve"> 2024.9.0</w:t>
      </w:r>
      <w:r>
        <w:t xml:space="preserve">. </w:t>
      </w:r>
    </w:p>
    <w:p w14:paraId="6C918F6D" w14:textId="77777777" w:rsidR="00435DAB" w:rsidRDefault="00435DAB" w:rsidP="00D71B4F"/>
    <w:p w14:paraId="078F6ADC" w14:textId="77777777" w:rsidR="002B3A48" w:rsidRDefault="002B3A48">
      <w:pPr>
        <w:rPr>
          <w:b/>
          <w:bCs/>
        </w:rPr>
      </w:pPr>
      <w:bookmarkStart w:id="0" w:name="_Ref182833773"/>
      <w:r>
        <w:rPr>
          <w:b/>
          <w:bCs/>
        </w:rPr>
        <w:br w:type="page"/>
      </w:r>
    </w:p>
    <w:p w14:paraId="0E75FE0E" w14:textId="0FA9FE5A" w:rsidR="00402C20" w:rsidRPr="00AE0C76" w:rsidRDefault="00402C20" w:rsidP="00121453">
      <w:pPr>
        <w:pStyle w:val="Heading1"/>
      </w:pPr>
      <w:r>
        <w:lastRenderedPageBreak/>
        <w:t>Appendix</w:t>
      </w:r>
    </w:p>
    <w:bookmarkEnd w:id="0"/>
    <w:p w14:paraId="2CA04042" w14:textId="1B18EED6" w:rsidR="00343BB4" w:rsidRDefault="00B622C1" w:rsidP="00343BB4">
      <w:pPr>
        <w:pStyle w:val="Caption"/>
        <w:keepNext/>
      </w:pPr>
      <w:r>
        <w:t xml:space="preserve">Appendix 1. </w:t>
      </w:r>
      <w:r w:rsidR="00343BB4">
        <w:t>Occupation recodes applied to NCHS data</w:t>
      </w:r>
    </w:p>
    <w:p w14:paraId="71A97276" w14:textId="622831D9" w:rsidR="00DF21CC" w:rsidRDefault="003503C6" w:rsidP="00DF21CC">
      <w:r>
        <w:object w:dxaOrig="1508" w:dyaOrig="984" w14:anchorId="3B0D2C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6" o:title=""/>
          </v:shape>
          <o:OLEObject Type="Embed" ProgID="Excel.Sheet.12" ShapeID="_x0000_i1025" DrawAspect="Icon" ObjectID="_1819537474" r:id="rId7"/>
        </w:object>
      </w:r>
    </w:p>
    <w:p w14:paraId="691D68A3" w14:textId="3843F968" w:rsidR="002D3E95" w:rsidRPr="001E5928" w:rsidRDefault="002D3E95" w:rsidP="00121453">
      <w:r>
        <w:t>Please see standalone excel above</w:t>
      </w:r>
      <w:r w:rsidR="00CC1DC8">
        <w:t xml:space="preserve">. </w:t>
      </w:r>
      <w:r w:rsidR="00E600D9">
        <w:t xml:space="preserve">Crosswalk between 2018 and 2010 will first be conducted to </w:t>
      </w:r>
      <w:r w:rsidR="00E61CA9">
        <w:t xml:space="preserve">create </w:t>
      </w:r>
      <w:r w:rsidR="006C50AE">
        <w:t>2010 OCC</w:t>
      </w:r>
      <w:r w:rsidR="00E61CA9">
        <w:t xml:space="preserve">. The resulting </w:t>
      </w:r>
      <w:r w:rsidR="005A3B7C">
        <w:t>2010 OCC</w:t>
      </w:r>
      <w:r w:rsidR="00E61CA9">
        <w:t xml:space="preserve"> will then be aggregated </w:t>
      </w:r>
      <w:r w:rsidR="001E5928">
        <w:t xml:space="preserve">into an appropriate </w:t>
      </w:r>
      <w:r w:rsidR="001E5928">
        <w:rPr>
          <w:i/>
          <w:iCs/>
        </w:rPr>
        <w:t>SOC2010</w:t>
      </w:r>
      <w:r w:rsidR="001E5928">
        <w:t xml:space="preserve"> variable recode.</w:t>
      </w:r>
    </w:p>
    <w:p w14:paraId="172BEDD6" w14:textId="6CEDCD24" w:rsidR="005B0255" w:rsidRDefault="005B0255" w:rsidP="005B0255">
      <w:pPr>
        <w:pStyle w:val="Caption"/>
        <w:keepNext/>
      </w:pPr>
      <w:bookmarkStart w:id="1" w:name="_Ref182831660"/>
      <w:r>
        <w:t>Appendix</w:t>
      </w:r>
      <w:r w:rsidR="00825413">
        <w:t xml:space="preserve"> 2.</w:t>
      </w:r>
      <w:r>
        <w:t xml:space="preserve"> </w:t>
      </w:r>
      <w:bookmarkEnd w:id="1"/>
      <w:r>
        <w:t>Cancer site-specific codes identified by UCR113</w:t>
      </w:r>
      <w:r w:rsidR="009638BD">
        <w:t>.</w:t>
      </w:r>
    </w:p>
    <w:tbl>
      <w:tblPr>
        <w:tblStyle w:val="TableGrid"/>
        <w:tblW w:w="0" w:type="auto"/>
        <w:tblLook w:val="04A0" w:firstRow="1" w:lastRow="0" w:firstColumn="1" w:lastColumn="0" w:noHBand="0" w:noVBand="1"/>
      </w:tblPr>
      <w:tblGrid>
        <w:gridCol w:w="7465"/>
        <w:gridCol w:w="1800"/>
      </w:tblGrid>
      <w:tr w:rsidR="001B5A6F" w14:paraId="5F0AF4EA" w14:textId="77777777" w:rsidTr="00EF2178">
        <w:tc>
          <w:tcPr>
            <w:tcW w:w="7465" w:type="dxa"/>
          </w:tcPr>
          <w:p w14:paraId="2678587E" w14:textId="06459F26" w:rsidR="001B5A6F" w:rsidRDefault="001B5A6F" w:rsidP="00D71B4F">
            <w:r>
              <w:t>Site</w:t>
            </w:r>
            <w:r w:rsidR="00535C6C">
              <w:t>/ICD</w:t>
            </w:r>
            <w:r w:rsidR="00975431">
              <w:t>-10</w:t>
            </w:r>
          </w:p>
        </w:tc>
        <w:tc>
          <w:tcPr>
            <w:tcW w:w="1800" w:type="dxa"/>
          </w:tcPr>
          <w:p w14:paraId="71E7A752" w14:textId="6712B735" w:rsidR="001B5A6F" w:rsidRDefault="001B5A6F" w:rsidP="00D71B4F">
            <w:r>
              <w:t xml:space="preserve">UCR113 </w:t>
            </w:r>
            <w:r w:rsidR="00975431">
              <w:t>re</w:t>
            </w:r>
            <w:r>
              <w:t>code</w:t>
            </w:r>
          </w:p>
        </w:tc>
      </w:tr>
      <w:tr w:rsidR="001B5A6F" w14:paraId="6F64F823" w14:textId="77777777" w:rsidTr="00EF2178">
        <w:tc>
          <w:tcPr>
            <w:tcW w:w="7465" w:type="dxa"/>
          </w:tcPr>
          <w:p w14:paraId="4262A63A" w14:textId="3AF93DA7" w:rsidR="001B5A6F" w:rsidRDefault="00975431" w:rsidP="00D71B4F">
            <w:r w:rsidRPr="00975431">
              <w:t>Malignant neoplasms of lip, oral cavity and pharynx (C00-C14)</w:t>
            </w:r>
          </w:p>
        </w:tc>
        <w:tc>
          <w:tcPr>
            <w:tcW w:w="1800" w:type="dxa"/>
          </w:tcPr>
          <w:p w14:paraId="5D8FC427" w14:textId="6612F14F" w:rsidR="001B5A6F" w:rsidRDefault="00BA4991" w:rsidP="00D71B4F">
            <w:r>
              <w:t>20</w:t>
            </w:r>
          </w:p>
        </w:tc>
      </w:tr>
      <w:tr w:rsidR="001B5A6F" w14:paraId="20A11AB6" w14:textId="77777777" w:rsidTr="00EF2178">
        <w:tc>
          <w:tcPr>
            <w:tcW w:w="7465" w:type="dxa"/>
          </w:tcPr>
          <w:p w14:paraId="0F904D1B" w14:textId="15857969" w:rsidR="001B5A6F" w:rsidRDefault="00975431" w:rsidP="00D71B4F">
            <w:r w:rsidRPr="00975431">
              <w:t>Malignant neoplasm of esophagus (C15)</w:t>
            </w:r>
          </w:p>
        </w:tc>
        <w:tc>
          <w:tcPr>
            <w:tcW w:w="1800" w:type="dxa"/>
          </w:tcPr>
          <w:p w14:paraId="2DEAB7FC" w14:textId="5924E812" w:rsidR="001B5A6F" w:rsidRDefault="00BA4991" w:rsidP="00D71B4F">
            <w:r>
              <w:t>21</w:t>
            </w:r>
          </w:p>
        </w:tc>
      </w:tr>
      <w:tr w:rsidR="001B5A6F" w14:paraId="7836C3D1" w14:textId="77777777" w:rsidTr="00EF2178">
        <w:tc>
          <w:tcPr>
            <w:tcW w:w="7465" w:type="dxa"/>
          </w:tcPr>
          <w:p w14:paraId="5F8A7BA0" w14:textId="292FB5E3" w:rsidR="001B5A6F" w:rsidRDefault="00975431" w:rsidP="00D71B4F">
            <w:r w:rsidRPr="00975431">
              <w:t>Malignant neoplasm of stomach (C16)</w:t>
            </w:r>
          </w:p>
        </w:tc>
        <w:tc>
          <w:tcPr>
            <w:tcW w:w="1800" w:type="dxa"/>
          </w:tcPr>
          <w:p w14:paraId="5EB59C37" w14:textId="2FC57571" w:rsidR="001B5A6F" w:rsidRDefault="00BA4991" w:rsidP="00D71B4F">
            <w:r>
              <w:t>22</w:t>
            </w:r>
          </w:p>
        </w:tc>
      </w:tr>
      <w:tr w:rsidR="001B5A6F" w14:paraId="3656DE72" w14:textId="77777777" w:rsidTr="00EF2178">
        <w:tc>
          <w:tcPr>
            <w:tcW w:w="7465" w:type="dxa"/>
          </w:tcPr>
          <w:p w14:paraId="680320F5" w14:textId="30113685" w:rsidR="001B5A6F" w:rsidRDefault="00975431" w:rsidP="00D71B4F">
            <w:r w:rsidRPr="00975431">
              <w:t>Malignant neoplasms of colon, rectum and anus (C18-C21)</w:t>
            </w:r>
          </w:p>
        </w:tc>
        <w:tc>
          <w:tcPr>
            <w:tcW w:w="1800" w:type="dxa"/>
          </w:tcPr>
          <w:p w14:paraId="5B1456E8" w14:textId="731F8DDA" w:rsidR="001B5A6F" w:rsidRDefault="00BA4991" w:rsidP="00D71B4F">
            <w:r>
              <w:t>23</w:t>
            </w:r>
          </w:p>
        </w:tc>
      </w:tr>
      <w:tr w:rsidR="001B5A6F" w14:paraId="09A2767F" w14:textId="77777777" w:rsidTr="00EF2178">
        <w:tc>
          <w:tcPr>
            <w:tcW w:w="7465" w:type="dxa"/>
          </w:tcPr>
          <w:p w14:paraId="3DA07EED" w14:textId="2CEDDFBB" w:rsidR="001B5A6F" w:rsidRDefault="00975431" w:rsidP="00D71B4F">
            <w:r w:rsidRPr="00975431">
              <w:t>Malignant neoplasms of liver and intrahepatic bile ducts (C22)</w:t>
            </w:r>
          </w:p>
        </w:tc>
        <w:tc>
          <w:tcPr>
            <w:tcW w:w="1800" w:type="dxa"/>
          </w:tcPr>
          <w:p w14:paraId="513216D3" w14:textId="4E5F4335" w:rsidR="001B5A6F" w:rsidRDefault="00BA4991" w:rsidP="00D71B4F">
            <w:r>
              <w:t>24</w:t>
            </w:r>
          </w:p>
        </w:tc>
      </w:tr>
      <w:tr w:rsidR="001B5A6F" w14:paraId="04C5FC11" w14:textId="77777777" w:rsidTr="00EF2178">
        <w:tc>
          <w:tcPr>
            <w:tcW w:w="7465" w:type="dxa"/>
          </w:tcPr>
          <w:p w14:paraId="38A89172" w14:textId="5DA0D2B3" w:rsidR="001B5A6F" w:rsidRDefault="00F04239" w:rsidP="00D71B4F">
            <w:r w:rsidRPr="00F04239">
              <w:t>Malignant neoplasm of pancreas (C25)</w:t>
            </w:r>
          </w:p>
        </w:tc>
        <w:tc>
          <w:tcPr>
            <w:tcW w:w="1800" w:type="dxa"/>
          </w:tcPr>
          <w:p w14:paraId="35E09BCE" w14:textId="67BF6C5A" w:rsidR="001B5A6F" w:rsidRDefault="00BA4991" w:rsidP="00D71B4F">
            <w:r>
              <w:t>25</w:t>
            </w:r>
          </w:p>
        </w:tc>
      </w:tr>
      <w:tr w:rsidR="001B5A6F" w14:paraId="146CFA8E" w14:textId="77777777" w:rsidTr="00EF2178">
        <w:tc>
          <w:tcPr>
            <w:tcW w:w="7465" w:type="dxa"/>
          </w:tcPr>
          <w:p w14:paraId="3A63BD91" w14:textId="05C3307B" w:rsidR="001B5A6F" w:rsidRDefault="00F04239" w:rsidP="00D71B4F">
            <w:r w:rsidRPr="00F04239">
              <w:t>Malignant neoplasm of larynx (C32)</w:t>
            </w:r>
          </w:p>
        </w:tc>
        <w:tc>
          <w:tcPr>
            <w:tcW w:w="1800" w:type="dxa"/>
          </w:tcPr>
          <w:p w14:paraId="1F6C2FA8" w14:textId="335817AE" w:rsidR="001B5A6F" w:rsidRDefault="00BA4991" w:rsidP="00D71B4F">
            <w:r>
              <w:t>26</w:t>
            </w:r>
          </w:p>
        </w:tc>
      </w:tr>
      <w:tr w:rsidR="001B5A6F" w14:paraId="5CB70033" w14:textId="77777777" w:rsidTr="00EF2178">
        <w:tc>
          <w:tcPr>
            <w:tcW w:w="7465" w:type="dxa"/>
          </w:tcPr>
          <w:p w14:paraId="33D4C7BE" w14:textId="7106562E" w:rsidR="001B5A6F" w:rsidRDefault="00F04239" w:rsidP="00D71B4F">
            <w:r w:rsidRPr="00F04239">
              <w:t>Malignant neoplasms of trachea, bronchus and lung (C33-C34)</w:t>
            </w:r>
          </w:p>
        </w:tc>
        <w:tc>
          <w:tcPr>
            <w:tcW w:w="1800" w:type="dxa"/>
          </w:tcPr>
          <w:p w14:paraId="04FF99AC" w14:textId="33104D3A" w:rsidR="001B5A6F" w:rsidRDefault="00BA4991" w:rsidP="00D71B4F">
            <w:r>
              <w:t>27</w:t>
            </w:r>
          </w:p>
        </w:tc>
      </w:tr>
      <w:tr w:rsidR="001B5A6F" w14:paraId="7C78FE75" w14:textId="77777777" w:rsidTr="00EF2178">
        <w:tc>
          <w:tcPr>
            <w:tcW w:w="7465" w:type="dxa"/>
          </w:tcPr>
          <w:p w14:paraId="738F7E83" w14:textId="585EBD95" w:rsidR="001B5A6F" w:rsidRDefault="00F04239" w:rsidP="00D71B4F">
            <w:r w:rsidRPr="00F04239">
              <w:t>Malignant melanoma of skin (C43)</w:t>
            </w:r>
          </w:p>
        </w:tc>
        <w:tc>
          <w:tcPr>
            <w:tcW w:w="1800" w:type="dxa"/>
          </w:tcPr>
          <w:p w14:paraId="62F56D8F" w14:textId="2C993E48" w:rsidR="001B5A6F" w:rsidRDefault="00BA4991" w:rsidP="00D71B4F">
            <w:r>
              <w:t>28</w:t>
            </w:r>
          </w:p>
        </w:tc>
      </w:tr>
      <w:tr w:rsidR="001B5A6F" w14:paraId="0CB73F96" w14:textId="77777777" w:rsidTr="00EF2178">
        <w:tc>
          <w:tcPr>
            <w:tcW w:w="7465" w:type="dxa"/>
          </w:tcPr>
          <w:p w14:paraId="48C6C3D7" w14:textId="2FB894A1" w:rsidR="001B5A6F" w:rsidRDefault="00F04239" w:rsidP="00D71B4F">
            <w:r w:rsidRPr="00F04239">
              <w:t>Malignant neoplasm of breast (C50)</w:t>
            </w:r>
          </w:p>
        </w:tc>
        <w:tc>
          <w:tcPr>
            <w:tcW w:w="1800" w:type="dxa"/>
          </w:tcPr>
          <w:p w14:paraId="0C53FA55" w14:textId="479E291A" w:rsidR="001B5A6F" w:rsidRDefault="00BA4991" w:rsidP="00D71B4F">
            <w:r>
              <w:t>29</w:t>
            </w:r>
          </w:p>
        </w:tc>
      </w:tr>
      <w:tr w:rsidR="001B5A6F" w14:paraId="3C9207E0" w14:textId="77777777" w:rsidTr="00EF2178">
        <w:tc>
          <w:tcPr>
            <w:tcW w:w="7465" w:type="dxa"/>
          </w:tcPr>
          <w:p w14:paraId="6D0F1383" w14:textId="1FFDFB76" w:rsidR="001B5A6F" w:rsidRDefault="00F04239" w:rsidP="00D71B4F">
            <w:r w:rsidRPr="00F04239">
              <w:t>Malignant neoplasm of cervix uteri (C53)</w:t>
            </w:r>
          </w:p>
        </w:tc>
        <w:tc>
          <w:tcPr>
            <w:tcW w:w="1800" w:type="dxa"/>
          </w:tcPr>
          <w:p w14:paraId="766C875E" w14:textId="2D8BF249" w:rsidR="001B5A6F" w:rsidRDefault="00BA4991" w:rsidP="00D71B4F">
            <w:r>
              <w:t>30</w:t>
            </w:r>
          </w:p>
        </w:tc>
      </w:tr>
      <w:tr w:rsidR="001B5A6F" w14:paraId="7130174E" w14:textId="77777777" w:rsidTr="00EF2178">
        <w:tc>
          <w:tcPr>
            <w:tcW w:w="7465" w:type="dxa"/>
          </w:tcPr>
          <w:p w14:paraId="4944F76A" w14:textId="3D6CC684" w:rsidR="001B5A6F" w:rsidRDefault="00F04239" w:rsidP="00D71B4F">
            <w:r w:rsidRPr="00F04239">
              <w:t xml:space="preserve">Malignant neoplasms of corpus uteri and </w:t>
            </w:r>
            <w:proofErr w:type="gramStart"/>
            <w:r w:rsidRPr="00F04239">
              <w:t>uterus</w:t>
            </w:r>
            <w:proofErr w:type="gramEnd"/>
            <w:r w:rsidRPr="00F04239">
              <w:t>, part unspecified (C54-C55)</w:t>
            </w:r>
          </w:p>
        </w:tc>
        <w:tc>
          <w:tcPr>
            <w:tcW w:w="1800" w:type="dxa"/>
          </w:tcPr>
          <w:p w14:paraId="75D46B95" w14:textId="10C95DA0" w:rsidR="001B5A6F" w:rsidRDefault="00BA4991" w:rsidP="00D71B4F">
            <w:r>
              <w:t>31</w:t>
            </w:r>
          </w:p>
        </w:tc>
      </w:tr>
      <w:tr w:rsidR="001B5A6F" w14:paraId="1C13C231" w14:textId="77777777" w:rsidTr="00EF2178">
        <w:tc>
          <w:tcPr>
            <w:tcW w:w="7465" w:type="dxa"/>
          </w:tcPr>
          <w:p w14:paraId="5CFB05FE" w14:textId="3356FD29" w:rsidR="001B5A6F" w:rsidRDefault="00A64003" w:rsidP="00D71B4F">
            <w:r w:rsidRPr="00A64003">
              <w:t>Malignant neoplasm of ovary (C56)</w:t>
            </w:r>
          </w:p>
        </w:tc>
        <w:tc>
          <w:tcPr>
            <w:tcW w:w="1800" w:type="dxa"/>
          </w:tcPr>
          <w:p w14:paraId="2521C874" w14:textId="6501915B" w:rsidR="001B5A6F" w:rsidRDefault="00BA4991" w:rsidP="00D71B4F">
            <w:r>
              <w:t>32</w:t>
            </w:r>
          </w:p>
        </w:tc>
      </w:tr>
      <w:tr w:rsidR="001B5A6F" w14:paraId="491C7C0E" w14:textId="77777777" w:rsidTr="00EF2178">
        <w:tc>
          <w:tcPr>
            <w:tcW w:w="7465" w:type="dxa"/>
          </w:tcPr>
          <w:p w14:paraId="3D0D802F" w14:textId="5EC142E6" w:rsidR="001B5A6F" w:rsidRDefault="00A64003" w:rsidP="00D71B4F">
            <w:r w:rsidRPr="00A64003">
              <w:t>Malignant neoplasm of prostate (C61)</w:t>
            </w:r>
          </w:p>
        </w:tc>
        <w:tc>
          <w:tcPr>
            <w:tcW w:w="1800" w:type="dxa"/>
          </w:tcPr>
          <w:p w14:paraId="49FB4F42" w14:textId="1CA6C9F5" w:rsidR="001B5A6F" w:rsidRDefault="00BA4991" w:rsidP="00D71B4F">
            <w:r>
              <w:t>33</w:t>
            </w:r>
          </w:p>
        </w:tc>
      </w:tr>
      <w:tr w:rsidR="001B5A6F" w14:paraId="32D8B619" w14:textId="77777777" w:rsidTr="00EF2178">
        <w:tc>
          <w:tcPr>
            <w:tcW w:w="7465" w:type="dxa"/>
          </w:tcPr>
          <w:p w14:paraId="64D00032" w14:textId="743D37B0" w:rsidR="001B5A6F" w:rsidRDefault="00A64003" w:rsidP="00D71B4F">
            <w:r w:rsidRPr="00A64003">
              <w:t>Malignant neoplasms of kidney and renal pelvis (C64-C65)</w:t>
            </w:r>
          </w:p>
        </w:tc>
        <w:tc>
          <w:tcPr>
            <w:tcW w:w="1800" w:type="dxa"/>
          </w:tcPr>
          <w:p w14:paraId="1AA47993" w14:textId="068DCF92" w:rsidR="001B5A6F" w:rsidRDefault="00BA4991" w:rsidP="00D71B4F">
            <w:r>
              <w:t>34</w:t>
            </w:r>
          </w:p>
        </w:tc>
      </w:tr>
      <w:tr w:rsidR="001B5A6F" w14:paraId="320173D3" w14:textId="77777777" w:rsidTr="00EF2178">
        <w:tc>
          <w:tcPr>
            <w:tcW w:w="7465" w:type="dxa"/>
          </w:tcPr>
          <w:p w14:paraId="3ECEB1AD" w14:textId="6ED2ACD7" w:rsidR="001B5A6F" w:rsidRDefault="00A64003" w:rsidP="00D71B4F">
            <w:r w:rsidRPr="00A64003">
              <w:t>Malignant neoplasm of bladder (C67)</w:t>
            </w:r>
          </w:p>
        </w:tc>
        <w:tc>
          <w:tcPr>
            <w:tcW w:w="1800" w:type="dxa"/>
          </w:tcPr>
          <w:p w14:paraId="1A831676" w14:textId="3E873851" w:rsidR="001B5A6F" w:rsidRDefault="00BA4991" w:rsidP="00D71B4F">
            <w:r>
              <w:t>35</w:t>
            </w:r>
          </w:p>
        </w:tc>
      </w:tr>
      <w:tr w:rsidR="001B5A6F" w14:paraId="4582521D" w14:textId="77777777" w:rsidTr="00EF2178">
        <w:tc>
          <w:tcPr>
            <w:tcW w:w="7465" w:type="dxa"/>
          </w:tcPr>
          <w:p w14:paraId="7CC54003" w14:textId="035C9B9C" w:rsidR="001B5A6F" w:rsidRDefault="00A64003" w:rsidP="00D71B4F">
            <w:r w:rsidRPr="00A64003">
              <w:t>Malignant neoplasms of meninges, brain and other parts of central nervous system (C70-C72)</w:t>
            </w:r>
          </w:p>
        </w:tc>
        <w:tc>
          <w:tcPr>
            <w:tcW w:w="1800" w:type="dxa"/>
          </w:tcPr>
          <w:p w14:paraId="3635B58A" w14:textId="6D03235A" w:rsidR="001B5A6F" w:rsidRDefault="00BA4991" w:rsidP="00D71B4F">
            <w:r>
              <w:t>36</w:t>
            </w:r>
          </w:p>
        </w:tc>
      </w:tr>
      <w:tr w:rsidR="001B5A6F" w14:paraId="5E546933" w14:textId="77777777" w:rsidTr="00EF2178">
        <w:tc>
          <w:tcPr>
            <w:tcW w:w="7465" w:type="dxa"/>
          </w:tcPr>
          <w:p w14:paraId="3394FA5A" w14:textId="28F909F9" w:rsidR="001B5A6F" w:rsidRDefault="00A64003" w:rsidP="00D71B4F">
            <w:r w:rsidRPr="00A64003">
              <w:t>Malignant neoplasms of lymphoid, hematopoietic and related tissue (C81-C96)</w:t>
            </w:r>
          </w:p>
        </w:tc>
        <w:tc>
          <w:tcPr>
            <w:tcW w:w="1800" w:type="dxa"/>
          </w:tcPr>
          <w:p w14:paraId="75552409" w14:textId="2C53F1E4" w:rsidR="001B5A6F" w:rsidRDefault="00BA4991" w:rsidP="00D71B4F">
            <w:r>
              <w:t>37</w:t>
            </w:r>
          </w:p>
        </w:tc>
      </w:tr>
      <w:tr w:rsidR="001B5A6F" w14:paraId="2AA3DF30" w14:textId="77777777" w:rsidTr="00EF2178">
        <w:tc>
          <w:tcPr>
            <w:tcW w:w="7465" w:type="dxa"/>
          </w:tcPr>
          <w:p w14:paraId="6754B426" w14:textId="6DADAB77" w:rsidR="001B5A6F" w:rsidRDefault="00A64003" w:rsidP="00D71B4F">
            <w:r w:rsidRPr="00A64003">
              <w:t>Hodgkin's disease (C81)</w:t>
            </w:r>
          </w:p>
        </w:tc>
        <w:tc>
          <w:tcPr>
            <w:tcW w:w="1800" w:type="dxa"/>
          </w:tcPr>
          <w:p w14:paraId="379001DA" w14:textId="30D77A9F" w:rsidR="001B5A6F" w:rsidRDefault="00BA4991" w:rsidP="00D71B4F">
            <w:r>
              <w:t>38</w:t>
            </w:r>
          </w:p>
        </w:tc>
      </w:tr>
      <w:tr w:rsidR="001B5A6F" w14:paraId="700EC625" w14:textId="77777777" w:rsidTr="00EF2178">
        <w:tc>
          <w:tcPr>
            <w:tcW w:w="7465" w:type="dxa"/>
          </w:tcPr>
          <w:p w14:paraId="6BB609DA" w14:textId="2C880641" w:rsidR="001B5A6F" w:rsidRDefault="00E037C8" w:rsidP="00D71B4F">
            <w:r w:rsidRPr="00E037C8">
              <w:t>Non-Hodgkin's lymphoma (C82-C85)</w:t>
            </w:r>
          </w:p>
        </w:tc>
        <w:tc>
          <w:tcPr>
            <w:tcW w:w="1800" w:type="dxa"/>
          </w:tcPr>
          <w:p w14:paraId="41A4F318" w14:textId="00AE6E1B" w:rsidR="001B5A6F" w:rsidRDefault="00BA4991" w:rsidP="00D71B4F">
            <w:r>
              <w:t>39</w:t>
            </w:r>
          </w:p>
        </w:tc>
      </w:tr>
      <w:tr w:rsidR="001B5A6F" w14:paraId="5665F533" w14:textId="77777777" w:rsidTr="00EF2178">
        <w:tc>
          <w:tcPr>
            <w:tcW w:w="7465" w:type="dxa"/>
          </w:tcPr>
          <w:p w14:paraId="01D45EE6" w14:textId="6DCE6967" w:rsidR="001B5A6F" w:rsidRDefault="00E037C8" w:rsidP="00D71B4F">
            <w:r w:rsidRPr="00E037C8">
              <w:t>Leukemia (C91-C95)</w:t>
            </w:r>
          </w:p>
        </w:tc>
        <w:tc>
          <w:tcPr>
            <w:tcW w:w="1800" w:type="dxa"/>
          </w:tcPr>
          <w:p w14:paraId="4B494EEF" w14:textId="196E3EAC" w:rsidR="001B5A6F" w:rsidRDefault="00BA4991" w:rsidP="00D71B4F">
            <w:r>
              <w:t>40</w:t>
            </w:r>
          </w:p>
        </w:tc>
      </w:tr>
      <w:tr w:rsidR="001B5A6F" w14:paraId="00A31C56" w14:textId="77777777" w:rsidTr="00EF2178">
        <w:tc>
          <w:tcPr>
            <w:tcW w:w="7465" w:type="dxa"/>
          </w:tcPr>
          <w:p w14:paraId="207C9639" w14:textId="6E113594" w:rsidR="001B5A6F" w:rsidRDefault="00E037C8" w:rsidP="00D71B4F">
            <w:r w:rsidRPr="00E037C8">
              <w:t>Multiple myeloma and immunoproliferative neoplasms (C88,</w:t>
            </w:r>
            <w:r w:rsidR="000562CF">
              <w:t xml:space="preserve"> </w:t>
            </w:r>
            <w:r w:rsidRPr="00E037C8">
              <w:t>C90)</w:t>
            </w:r>
          </w:p>
        </w:tc>
        <w:tc>
          <w:tcPr>
            <w:tcW w:w="1800" w:type="dxa"/>
          </w:tcPr>
          <w:p w14:paraId="669BC360" w14:textId="7D616E1E" w:rsidR="001B5A6F" w:rsidRDefault="00BA4991" w:rsidP="00D71B4F">
            <w:r>
              <w:t>41</w:t>
            </w:r>
          </w:p>
        </w:tc>
      </w:tr>
      <w:tr w:rsidR="001B5A6F" w14:paraId="0FE0A8FF" w14:textId="77777777" w:rsidTr="00EF2178">
        <w:tc>
          <w:tcPr>
            <w:tcW w:w="7465" w:type="dxa"/>
          </w:tcPr>
          <w:p w14:paraId="0C82B649" w14:textId="3AC44954" w:rsidR="001B5A6F" w:rsidRDefault="00E037C8" w:rsidP="00D71B4F">
            <w:r w:rsidRPr="00E037C8">
              <w:t>All other and unspecified malignant neoplasms (C17,</w:t>
            </w:r>
            <w:r w:rsidR="00DD75F5">
              <w:t xml:space="preserve"> </w:t>
            </w:r>
            <w:r w:rsidRPr="00E037C8">
              <w:t>C23-C24</w:t>
            </w:r>
            <w:r w:rsidR="00A0726E">
              <w:t xml:space="preserve">, </w:t>
            </w:r>
            <w:r w:rsidRPr="00E037C8">
              <w:t>C26-C31,</w:t>
            </w:r>
            <w:r w:rsidR="00A0726E">
              <w:t xml:space="preserve"> </w:t>
            </w:r>
            <w:r w:rsidRPr="00E037C8">
              <w:t>C37-C41, C44-C49,</w:t>
            </w:r>
            <w:r w:rsidR="00A0726E">
              <w:t xml:space="preserve"> </w:t>
            </w:r>
            <w:r w:rsidRPr="00E037C8">
              <w:t>C51-C52,</w:t>
            </w:r>
            <w:r w:rsidR="00A0726E">
              <w:t xml:space="preserve"> </w:t>
            </w:r>
            <w:r w:rsidRPr="00E037C8">
              <w:t>C57-C60,</w:t>
            </w:r>
            <w:r w:rsidR="00A0726E">
              <w:t xml:space="preserve"> </w:t>
            </w:r>
            <w:r w:rsidRPr="00E037C8">
              <w:t>C62-C63,</w:t>
            </w:r>
            <w:r w:rsidR="00A0726E">
              <w:t xml:space="preserve"> </w:t>
            </w:r>
            <w:r w:rsidRPr="00E037C8">
              <w:t>C66,</w:t>
            </w:r>
            <w:r w:rsidR="00A0726E">
              <w:t xml:space="preserve"> </w:t>
            </w:r>
            <w:r w:rsidRPr="00E037C8">
              <w:t>C68-C69,</w:t>
            </w:r>
            <w:r w:rsidR="00A0726E">
              <w:t xml:space="preserve"> </w:t>
            </w:r>
            <w:r w:rsidRPr="00E037C8">
              <w:t>C73-C80,</w:t>
            </w:r>
            <w:r w:rsidR="00A0726E">
              <w:t xml:space="preserve"> </w:t>
            </w:r>
            <w:r w:rsidRPr="00E037C8">
              <w:t>C96-C97)</w:t>
            </w:r>
          </w:p>
        </w:tc>
        <w:tc>
          <w:tcPr>
            <w:tcW w:w="1800" w:type="dxa"/>
          </w:tcPr>
          <w:p w14:paraId="0D97B3FD" w14:textId="66652314" w:rsidR="001B5A6F" w:rsidRDefault="00BA4991" w:rsidP="00D71B4F">
            <w:r>
              <w:t>42,43</w:t>
            </w:r>
          </w:p>
        </w:tc>
      </w:tr>
    </w:tbl>
    <w:p w14:paraId="40C0733D" w14:textId="77777777" w:rsidR="00ED2D7D" w:rsidRDefault="00ED2D7D" w:rsidP="00D71B4F"/>
    <w:p w14:paraId="7B9E1D9A" w14:textId="2B8734A7" w:rsidR="00806BCB" w:rsidRDefault="00806BCB" w:rsidP="00806BCB">
      <w:pPr>
        <w:pStyle w:val="Caption"/>
        <w:keepNext/>
      </w:pPr>
      <w:r>
        <w:lastRenderedPageBreak/>
        <w:t>Appendix 3. Occupation Suppression Rules Into “NEC”</w:t>
      </w:r>
    </w:p>
    <w:p w14:paraId="5C9B3B5A" w14:textId="606BB28F" w:rsidR="00D3091C" w:rsidRDefault="0079688E" w:rsidP="00D3091C">
      <w:r>
        <w:object w:dxaOrig="1376" w:dyaOrig="899" w14:anchorId="0F56F80A">
          <v:shape id="_x0000_i1026" type="#_x0000_t75" style="width:69pt;height:45pt" o:ole="">
            <v:imagedata r:id="rId8" o:title=""/>
          </v:shape>
          <o:OLEObject Type="Embed" ProgID="Excel.Sheet.12" ShapeID="_x0000_i1026" DrawAspect="Icon" ObjectID="_1819537475" r:id="rId9"/>
        </w:object>
      </w:r>
    </w:p>
    <w:p w14:paraId="01BFA5D1" w14:textId="3EAD0AB4" w:rsidR="00930EF4" w:rsidRPr="00930EF4" w:rsidRDefault="00A23844" w:rsidP="00930EF4">
      <w:pPr>
        <w:rPr>
          <w:rFonts w:ascii="Aptos Narrow" w:eastAsia="Times New Roman" w:hAnsi="Aptos Narrow" w:cs="Times New Roman"/>
          <w:color w:val="000000"/>
        </w:rPr>
      </w:pPr>
      <w:r>
        <w:t xml:space="preserve">Please see standalone excel above. For each </w:t>
      </w:r>
      <w:proofErr w:type="gramStart"/>
      <w:r>
        <w:t>strata</w:t>
      </w:r>
      <w:proofErr w:type="gramEnd"/>
      <w:r>
        <w:t xml:space="preserve"> where the occupation has &lt;10 </w:t>
      </w:r>
      <w:r w:rsidR="00930EF4">
        <w:t xml:space="preserve">in annual average deaths, the occupation will be aggregated into its respective “other” or “not otherwise classified” category. This variable is indicated as </w:t>
      </w:r>
      <w:proofErr w:type="spellStart"/>
      <w:r w:rsidR="00930EF4" w:rsidRPr="00930EF4">
        <w:rPr>
          <w:rFonts w:ascii="Aptos Narrow" w:eastAsia="Times New Roman" w:hAnsi="Aptos Narrow" w:cs="Times New Roman"/>
          <w:i/>
          <w:iCs/>
          <w:color w:val="000000"/>
        </w:rPr>
        <w:t>occ_nec</w:t>
      </w:r>
      <w:proofErr w:type="spellEnd"/>
      <w:r w:rsidR="00930EF4">
        <w:rPr>
          <w:rFonts w:ascii="Aptos Narrow" w:eastAsia="Times New Roman" w:hAnsi="Aptos Narrow" w:cs="Times New Roman"/>
          <w:color w:val="000000"/>
        </w:rPr>
        <w:t>.</w:t>
      </w:r>
    </w:p>
    <w:p w14:paraId="34B7C16D" w14:textId="09FEDFB9" w:rsidR="00A23844" w:rsidRPr="00930EF4" w:rsidRDefault="00A23844" w:rsidP="00D3091C">
      <w:pPr>
        <w:rPr>
          <w:i/>
          <w:iCs/>
        </w:rPr>
      </w:pPr>
    </w:p>
    <w:p w14:paraId="47A40D46" w14:textId="77777777" w:rsidR="00806BCB" w:rsidRDefault="00806BCB" w:rsidP="00D71B4F"/>
    <w:p w14:paraId="6C441F40" w14:textId="685A9EA3" w:rsidR="00265C3A" w:rsidRDefault="00265C3A">
      <w:r>
        <w:br w:type="page"/>
      </w:r>
    </w:p>
    <w:p w14:paraId="7784CDDF" w14:textId="367D8DEC" w:rsidR="00ED2D7D" w:rsidRDefault="00265C3A" w:rsidP="00D71B4F">
      <w:r>
        <w:lastRenderedPageBreak/>
        <w:t>REFERENCES</w:t>
      </w:r>
    </w:p>
    <w:p w14:paraId="3491A183" w14:textId="4B3D2B96" w:rsidR="00806AA3" w:rsidRPr="00806AA3" w:rsidRDefault="00ED2D7D" w:rsidP="00806AA3">
      <w:pPr>
        <w:pStyle w:val="EndNoteBibliography"/>
        <w:spacing w:after="0"/>
        <w:ind w:left="720" w:hanging="720"/>
      </w:pPr>
      <w:r>
        <w:fldChar w:fldCharType="begin"/>
      </w:r>
      <w:r>
        <w:instrText xml:space="preserve"> ADDIN EN.REFLIST </w:instrText>
      </w:r>
      <w:r>
        <w:fldChar w:fldCharType="separate"/>
      </w:r>
      <w:r w:rsidR="00806AA3" w:rsidRPr="00806AA3">
        <w:t>1.</w:t>
      </w:r>
      <w:r w:rsidR="00806AA3" w:rsidRPr="00806AA3">
        <w:tab/>
        <w:t xml:space="preserve">National Center for Health Statistics. Vital Statistics Online Data Portal. 2024; </w:t>
      </w:r>
      <w:hyperlink r:id="rId10" w:anchor="Mortality_Multiple" w:history="1">
        <w:r w:rsidR="00806AA3" w:rsidRPr="00806AA3">
          <w:rPr>
            <w:rStyle w:val="Hyperlink"/>
          </w:rPr>
          <w:t>https://www.cdc.gov/nchs/data_access/vitalstatsonline.htm#Mortality_Multiple</w:t>
        </w:r>
      </w:hyperlink>
      <w:r w:rsidR="00806AA3" w:rsidRPr="00806AA3">
        <w:t>. Accessed February 4, 2025.</w:t>
      </w:r>
    </w:p>
    <w:p w14:paraId="0799E636" w14:textId="77777777" w:rsidR="00806AA3" w:rsidRPr="00806AA3" w:rsidRDefault="00806AA3" w:rsidP="00806AA3">
      <w:pPr>
        <w:pStyle w:val="EndNoteBibliography"/>
        <w:spacing w:after="0"/>
        <w:ind w:left="720" w:hanging="720"/>
      </w:pPr>
      <w:r w:rsidRPr="00806AA3">
        <w:t>2.</w:t>
      </w:r>
      <w:r w:rsidRPr="00806AA3">
        <w:tab/>
        <w:t>Steege A, Billock R, Miniño A. Industry and Occupation (I&amp;O) data as applicable to mortality vital statistics, 2020: History, Background, and Control Tables. In: CDC.</w:t>
      </w:r>
    </w:p>
    <w:p w14:paraId="37CB663F" w14:textId="179F8EDA" w:rsidR="00806AA3" w:rsidRPr="00806AA3" w:rsidRDefault="00806AA3" w:rsidP="00806AA3">
      <w:pPr>
        <w:pStyle w:val="EndNoteBibliography"/>
        <w:spacing w:after="0"/>
        <w:ind w:left="720" w:hanging="720"/>
      </w:pPr>
      <w:r w:rsidRPr="00806AA3">
        <w:t>3.</w:t>
      </w:r>
      <w:r w:rsidRPr="00806AA3">
        <w:tab/>
        <w:t xml:space="preserve">Mortality Multiple Cause-of-Death. </w:t>
      </w:r>
      <w:r w:rsidRPr="00806AA3">
        <w:rPr>
          <w:i/>
        </w:rPr>
        <w:t>Public Use Data File Documentation</w:t>
      </w:r>
      <w:r w:rsidRPr="00806AA3">
        <w:t xml:space="preserve">  </w:t>
      </w:r>
      <w:hyperlink r:id="rId11" w:history="1">
        <w:r w:rsidRPr="00806AA3">
          <w:rPr>
            <w:rStyle w:val="Hyperlink"/>
          </w:rPr>
          <w:t>https://www.cdc.gov/nchs/nvss/mortality_public_use_data.htm</w:t>
        </w:r>
      </w:hyperlink>
      <w:r w:rsidRPr="00806AA3">
        <w:t>, 2025.</w:t>
      </w:r>
    </w:p>
    <w:p w14:paraId="4C1A1CBC" w14:textId="51D109C9" w:rsidR="00806AA3" w:rsidRPr="00806AA3" w:rsidRDefault="00806AA3" w:rsidP="00806AA3">
      <w:pPr>
        <w:pStyle w:val="EndNoteBibliography"/>
        <w:spacing w:after="0"/>
        <w:ind w:left="720" w:hanging="720"/>
      </w:pPr>
      <w:r w:rsidRPr="00806AA3">
        <w:t>4.</w:t>
      </w:r>
      <w:r w:rsidRPr="00806AA3">
        <w:tab/>
        <w:t xml:space="preserve">2018 Census Occupation Code List with Crosswalk. </w:t>
      </w:r>
      <w:r w:rsidRPr="00806AA3">
        <w:rPr>
          <w:i/>
        </w:rPr>
        <w:t>Industry and Occupation Code Lists &amp; Crosswalks</w:t>
      </w:r>
      <w:r w:rsidRPr="00806AA3">
        <w:t xml:space="preserve">  </w:t>
      </w:r>
      <w:hyperlink r:id="rId12" w:history="1">
        <w:r w:rsidRPr="00806AA3">
          <w:rPr>
            <w:rStyle w:val="Hyperlink"/>
          </w:rPr>
          <w:t>https://www.census.gov/topics/employment/industry-occupation/guidance/code-lists.html</w:t>
        </w:r>
      </w:hyperlink>
      <w:r w:rsidRPr="00806AA3">
        <w:t>.</w:t>
      </w:r>
    </w:p>
    <w:p w14:paraId="6EEC1773" w14:textId="605E1355" w:rsidR="00806AA3" w:rsidRPr="00806AA3" w:rsidRDefault="00806AA3" w:rsidP="00806AA3">
      <w:pPr>
        <w:pStyle w:val="EndNoteBibliography"/>
        <w:spacing w:after="0"/>
        <w:ind w:left="720" w:hanging="720"/>
      </w:pPr>
      <w:r w:rsidRPr="00806AA3">
        <w:t>5.</w:t>
      </w:r>
      <w:r w:rsidRPr="00806AA3">
        <w:tab/>
        <w:t xml:space="preserve">United States Department of Commerce, Census Bureau. About Occupation. </w:t>
      </w:r>
      <w:hyperlink r:id="rId13" w:history="1">
        <w:r w:rsidRPr="00806AA3">
          <w:rPr>
            <w:rStyle w:val="Hyperlink"/>
          </w:rPr>
          <w:t>https://www.census.gov/topics/employment/industry-occupation/about/occupation.html</w:t>
        </w:r>
      </w:hyperlink>
      <w:r w:rsidRPr="00806AA3">
        <w:t>. Accessed January 14, 2025.</w:t>
      </w:r>
    </w:p>
    <w:p w14:paraId="16CA7A32" w14:textId="77777777" w:rsidR="00806AA3" w:rsidRPr="00806AA3" w:rsidRDefault="00806AA3" w:rsidP="00806AA3">
      <w:pPr>
        <w:pStyle w:val="EndNoteBibliography"/>
        <w:spacing w:after="0"/>
        <w:ind w:left="720" w:hanging="720"/>
      </w:pPr>
      <w:r w:rsidRPr="00806AA3">
        <w:t>6.</w:t>
      </w:r>
      <w:r w:rsidRPr="00806AA3">
        <w:tab/>
        <w:t>Centers for Disease C, Prevention. Instructions for Classifying Multiple Causes of Death, 2022. In: National Center for Health Statistics; 2022.</w:t>
      </w:r>
    </w:p>
    <w:p w14:paraId="57430275" w14:textId="77777777" w:rsidR="00806AA3" w:rsidRPr="00806AA3" w:rsidRDefault="00806AA3" w:rsidP="00806AA3">
      <w:pPr>
        <w:pStyle w:val="EndNoteBibliography"/>
        <w:spacing w:after="0"/>
        <w:ind w:left="720" w:hanging="720"/>
      </w:pPr>
      <w:r w:rsidRPr="00806AA3">
        <w:t>7.</w:t>
      </w:r>
      <w:r w:rsidRPr="00806AA3">
        <w:tab/>
        <w:t>Steven Ruggles SF, Matthew Sobek, Daniel Backman, Annie Chen, Grace Cooper, Stephanie Richards, Renae Rodgers, and Megan Schouweiler. Integrated Public Use Microdata Series: Version 15.0. In: Minnesota MUo, ed2024.</w:t>
      </w:r>
    </w:p>
    <w:p w14:paraId="17B935A9" w14:textId="58056D9A" w:rsidR="00806AA3" w:rsidRPr="00806AA3" w:rsidRDefault="00806AA3" w:rsidP="00806AA3">
      <w:pPr>
        <w:pStyle w:val="EndNoteBibliography"/>
        <w:spacing w:after="0"/>
        <w:ind w:left="720" w:hanging="720"/>
      </w:pPr>
      <w:r w:rsidRPr="00806AA3">
        <w:t>8.</w:t>
      </w:r>
      <w:r w:rsidRPr="00806AA3">
        <w:tab/>
        <w:t>Bureau USC, Department of Commerce E, Statistics A. 2010 American Community Survey 1-Year Estimates; using American FactFinder; &lt;</w:t>
      </w:r>
      <w:hyperlink r:id="rId14" w:history="1">
        <w:r w:rsidRPr="00806AA3">
          <w:rPr>
            <w:rStyle w:val="Hyperlink"/>
          </w:rPr>
          <w:t>http://factfinder2.census.gov</w:t>
        </w:r>
      </w:hyperlink>
      <w:r w:rsidRPr="00806AA3">
        <w:t>&gt;. In</w:t>
      </w:r>
      <w:r w:rsidRPr="00806AA3">
        <w:rPr>
          <w:i/>
        </w:rPr>
        <w:t>.</w:t>
      </w:r>
      <w:r w:rsidRPr="00806AA3">
        <w:t xml:space="preserve"> Vol 20142014.</w:t>
      </w:r>
    </w:p>
    <w:p w14:paraId="66531940" w14:textId="77777777" w:rsidR="00806AA3" w:rsidRPr="00806AA3" w:rsidRDefault="00806AA3" w:rsidP="00806AA3">
      <w:pPr>
        <w:pStyle w:val="EndNoteBibliography"/>
        <w:spacing w:after="0"/>
        <w:ind w:left="720" w:hanging="720"/>
      </w:pPr>
      <w:r w:rsidRPr="00806AA3">
        <w:t>9.</w:t>
      </w:r>
      <w:r w:rsidRPr="00806AA3">
        <w:tab/>
        <w:t>National Cancer I. Surveillance Epidemiology and End Results. In</w:t>
      </w:r>
      <w:r w:rsidRPr="00806AA3">
        <w:rPr>
          <w:i/>
        </w:rPr>
        <w:t>.</w:t>
      </w:r>
      <w:r w:rsidRPr="00806AA3">
        <w:t xml:space="preserve"> Vol 2013: Cancer Statistics Branch Surveillance Research Program. Division of Cancer Control and Population Sciences. National Cancer Institute; 2010.</w:t>
      </w:r>
    </w:p>
    <w:p w14:paraId="23E3D627" w14:textId="77777777" w:rsidR="00806AA3" w:rsidRPr="00806AA3" w:rsidRDefault="00806AA3" w:rsidP="00806AA3">
      <w:pPr>
        <w:pStyle w:val="EndNoteBibliography"/>
        <w:ind w:left="720" w:hanging="720"/>
      </w:pPr>
      <w:r w:rsidRPr="00806AA3">
        <w:t>10.</w:t>
      </w:r>
      <w:r w:rsidRPr="00806AA3">
        <w:tab/>
        <w:t xml:space="preserve">Tiwari RC, Clegg LX, Zou Z. Efficient interval estimation for age-adjusted cancer rates. </w:t>
      </w:r>
      <w:r w:rsidRPr="00806AA3">
        <w:rPr>
          <w:i/>
        </w:rPr>
        <w:t xml:space="preserve">Stat Methods Med Res. </w:t>
      </w:r>
      <w:r w:rsidRPr="00806AA3">
        <w:t>2006;15(6):547-569.</w:t>
      </w:r>
    </w:p>
    <w:p w14:paraId="333013B2" w14:textId="1CFCA8C9" w:rsidR="006C4B47" w:rsidRDefault="00ED2D7D" w:rsidP="00D71B4F">
      <w:r>
        <w:fldChar w:fldCharType="end"/>
      </w:r>
    </w:p>
    <w:sectPr w:rsidR="006C4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6B57"/>
    <w:multiLevelType w:val="hybridMultilevel"/>
    <w:tmpl w:val="402A0DA2"/>
    <w:lvl w:ilvl="0" w:tplc="697663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6250C"/>
    <w:multiLevelType w:val="hybridMultilevel"/>
    <w:tmpl w:val="1C3EB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701A3"/>
    <w:multiLevelType w:val="multilevel"/>
    <w:tmpl w:val="F4B09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7C6EFF"/>
    <w:multiLevelType w:val="hybridMultilevel"/>
    <w:tmpl w:val="26947DAA"/>
    <w:lvl w:ilvl="0" w:tplc="0F1A975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72A9C"/>
    <w:multiLevelType w:val="hybridMultilevel"/>
    <w:tmpl w:val="B576243A"/>
    <w:lvl w:ilvl="0" w:tplc="13643BB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A6A8E"/>
    <w:multiLevelType w:val="hybridMultilevel"/>
    <w:tmpl w:val="7188F9D4"/>
    <w:lvl w:ilvl="0" w:tplc="2166B8C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090860">
    <w:abstractNumId w:val="5"/>
  </w:num>
  <w:num w:numId="2" w16cid:durableId="1509712078">
    <w:abstractNumId w:val="3"/>
  </w:num>
  <w:num w:numId="3" w16cid:durableId="471560966">
    <w:abstractNumId w:val="4"/>
  </w:num>
  <w:num w:numId="4" w16cid:durableId="558589601">
    <w:abstractNumId w:val="1"/>
  </w:num>
  <w:num w:numId="5" w16cid:durableId="684289836">
    <w:abstractNumId w:val="0"/>
  </w:num>
  <w:num w:numId="6" w16cid:durableId="382993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wx02spurzfa5edvs55detsvsrfdvt9tepv&quot;&gt;NJSCR_rshx_audit-Converted&lt;record-ids&gt;&lt;item&gt;438&lt;/item&gt;&lt;item&gt;915&lt;/item&gt;&lt;item&gt;5382&lt;/item&gt;&lt;item&gt;5384&lt;/item&gt;&lt;item&gt;5387&lt;/item&gt;&lt;item&gt;5408&lt;/item&gt;&lt;item&gt;5411&lt;/item&gt;&lt;item&gt;5462&lt;/item&gt;&lt;/record-ids&gt;&lt;/item&gt;&lt;/Libraries&gt;"/>
  </w:docVars>
  <w:rsids>
    <w:rsidRoot w:val="00FF5B68"/>
    <w:rsid w:val="00001716"/>
    <w:rsid w:val="000110E8"/>
    <w:rsid w:val="00015022"/>
    <w:rsid w:val="00016835"/>
    <w:rsid w:val="000201F0"/>
    <w:rsid w:val="00026F88"/>
    <w:rsid w:val="0003539A"/>
    <w:rsid w:val="0003657F"/>
    <w:rsid w:val="00040414"/>
    <w:rsid w:val="00042061"/>
    <w:rsid w:val="0004369D"/>
    <w:rsid w:val="00045110"/>
    <w:rsid w:val="00051AEC"/>
    <w:rsid w:val="00051B74"/>
    <w:rsid w:val="000549DF"/>
    <w:rsid w:val="0005609B"/>
    <w:rsid w:val="000562CF"/>
    <w:rsid w:val="000577CD"/>
    <w:rsid w:val="00061011"/>
    <w:rsid w:val="00067873"/>
    <w:rsid w:val="0007022C"/>
    <w:rsid w:val="000737EE"/>
    <w:rsid w:val="0007479E"/>
    <w:rsid w:val="00075EF5"/>
    <w:rsid w:val="0007753A"/>
    <w:rsid w:val="00082903"/>
    <w:rsid w:val="0008515D"/>
    <w:rsid w:val="000872FB"/>
    <w:rsid w:val="00090215"/>
    <w:rsid w:val="000909A4"/>
    <w:rsid w:val="000A55AE"/>
    <w:rsid w:val="000A6B3E"/>
    <w:rsid w:val="000B182D"/>
    <w:rsid w:val="000B57A0"/>
    <w:rsid w:val="000C01A0"/>
    <w:rsid w:val="000C3D96"/>
    <w:rsid w:val="000D10B6"/>
    <w:rsid w:val="000D3DAF"/>
    <w:rsid w:val="000E1EBD"/>
    <w:rsid w:val="000E43DC"/>
    <w:rsid w:val="000E4E7B"/>
    <w:rsid w:val="000F1BEF"/>
    <w:rsid w:val="000F569F"/>
    <w:rsid w:val="001000BD"/>
    <w:rsid w:val="00101DE5"/>
    <w:rsid w:val="00102912"/>
    <w:rsid w:val="0010370A"/>
    <w:rsid w:val="00103740"/>
    <w:rsid w:val="001105D9"/>
    <w:rsid w:val="00112E65"/>
    <w:rsid w:val="00120327"/>
    <w:rsid w:val="00120B60"/>
    <w:rsid w:val="0012117A"/>
    <w:rsid w:val="00121453"/>
    <w:rsid w:val="00123B0D"/>
    <w:rsid w:val="001342F1"/>
    <w:rsid w:val="00135BAA"/>
    <w:rsid w:val="00140071"/>
    <w:rsid w:val="00143FB4"/>
    <w:rsid w:val="0014539A"/>
    <w:rsid w:val="00147AC7"/>
    <w:rsid w:val="00151C66"/>
    <w:rsid w:val="0015314C"/>
    <w:rsid w:val="00153CCB"/>
    <w:rsid w:val="00153DAC"/>
    <w:rsid w:val="00160F0C"/>
    <w:rsid w:val="00165260"/>
    <w:rsid w:val="0016721A"/>
    <w:rsid w:val="00171089"/>
    <w:rsid w:val="00174DF6"/>
    <w:rsid w:val="0017709C"/>
    <w:rsid w:val="00181876"/>
    <w:rsid w:val="00181AB2"/>
    <w:rsid w:val="00181BF3"/>
    <w:rsid w:val="001824D1"/>
    <w:rsid w:val="00185608"/>
    <w:rsid w:val="00191D89"/>
    <w:rsid w:val="00192CE1"/>
    <w:rsid w:val="001968E5"/>
    <w:rsid w:val="001A10A2"/>
    <w:rsid w:val="001A22B7"/>
    <w:rsid w:val="001A2590"/>
    <w:rsid w:val="001A62BB"/>
    <w:rsid w:val="001A694F"/>
    <w:rsid w:val="001B0AEE"/>
    <w:rsid w:val="001B226A"/>
    <w:rsid w:val="001B3766"/>
    <w:rsid w:val="001B5A6F"/>
    <w:rsid w:val="001B5B3C"/>
    <w:rsid w:val="001C115B"/>
    <w:rsid w:val="001C6360"/>
    <w:rsid w:val="001D36F5"/>
    <w:rsid w:val="001D4DDD"/>
    <w:rsid w:val="001D6696"/>
    <w:rsid w:val="001D6B6B"/>
    <w:rsid w:val="001E04F2"/>
    <w:rsid w:val="001E3F26"/>
    <w:rsid w:val="001E455B"/>
    <w:rsid w:val="001E5928"/>
    <w:rsid w:val="001E59BF"/>
    <w:rsid w:val="001E7033"/>
    <w:rsid w:val="001F3718"/>
    <w:rsid w:val="001F740D"/>
    <w:rsid w:val="001F77D3"/>
    <w:rsid w:val="00200F41"/>
    <w:rsid w:val="0020205F"/>
    <w:rsid w:val="00203B75"/>
    <w:rsid w:val="002049C9"/>
    <w:rsid w:val="00206A24"/>
    <w:rsid w:val="00207092"/>
    <w:rsid w:val="00211C3D"/>
    <w:rsid w:val="00212740"/>
    <w:rsid w:val="00212B86"/>
    <w:rsid w:val="0021578B"/>
    <w:rsid w:val="00223CCB"/>
    <w:rsid w:val="0023329E"/>
    <w:rsid w:val="00234BD4"/>
    <w:rsid w:val="0024210B"/>
    <w:rsid w:val="00245182"/>
    <w:rsid w:val="00245AC4"/>
    <w:rsid w:val="00245B48"/>
    <w:rsid w:val="002546B6"/>
    <w:rsid w:val="0025589C"/>
    <w:rsid w:val="002563DF"/>
    <w:rsid w:val="00260BB9"/>
    <w:rsid w:val="002648F7"/>
    <w:rsid w:val="00265096"/>
    <w:rsid w:val="00265C3A"/>
    <w:rsid w:val="00272ABE"/>
    <w:rsid w:val="00273304"/>
    <w:rsid w:val="002740A8"/>
    <w:rsid w:val="00275AF4"/>
    <w:rsid w:val="00276DE3"/>
    <w:rsid w:val="002818DC"/>
    <w:rsid w:val="002837C5"/>
    <w:rsid w:val="002919AE"/>
    <w:rsid w:val="0029365A"/>
    <w:rsid w:val="00295518"/>
    <w:rsid w:val="002A5B50"/>
    <w:rsid w:val="002A5E6D"/>
    <w:rsid w:val="002A6C83"/>
    <w:rsid w:val="002A6F48"/>
    <w:rsid w:val="002B1ECB"/>
    <w:rsid w:val="002B3A48"/>
    <w:rsid w:val="002B6C60"/>
    <w:rsid w:val="002B6C6A"/>
    <w:rsid w:val="002C515E"/>
    <w:rsid w:val="002C6C79"/>
    <w:rsid w:val="002C6D72"/>
    <w:rsid w:val="002C7644"/>
    <w:rsid w:val="002D2B7E"/>
    <w:rsid w:val="002D2F79"/>
    <w:rsid w:val="002D3E95"/>
    <w:rsid w:val="002D4B0D"/>
    <w:rsid w:val="002D7344"/>
    <w:rsid w:val="002E08F3"/>
    <w:rsid w:val="002E5E78"/>
    <w:rsid w:val="002E7D8B"/>
    <w:rsid w:val="002F1D12"/>
    <w:rsid w:val="002F6102"/>
    <w:rsid w:val="003056C4"/>
    <w:rsid w:val="003103D6"/>
    <w:rsid w:val="0031056F"/>
    <w:rsid w:val="003132EB"/>
    <w:rsid w:val="00316AB2"/>
    <w:rsid w:val="00316EA8"/>
    <w:rsid w:val="00324B99"/>
    <w:rsid w:val="0032788D"/>
    <w:rsid w:val="00331248"/>
    <w:rsid w:val="00331DE4"/>
    <w:rsid w:val="00331F44"/>
    <w:rsid w:val="00340957"/>
    <w:rsid w:val="00343BB4"/>
    <w:rsid w:val="003460D9"/>
    <w:rsid w:val="003476FA"/>
    <w:rsid w:val="00347DF5"/>
    <w:rsid w:val="003503C6"/>
    <w:rsid w:val="00351838"/>
    <w:rsid w:val="003531AB"/>
    <w:rsid w:val="00357AF6"/>
    <w:rsid w:val="00364998"/>
    <w:rsid w:val="003717FB"/>
    <w:rsid w:val="00371A05"/>
    <w:rsid w:val="00382239"/>
    <w:rsid w:val="003842ED"/>
    <w:rsid w:val="00385896"/>
    <w:rsid w:val="00387269"/>
    <w:rsid w:val="00387486"/>
    <w:rsid w:val="00387845"/>
    <w:rsid w:val="00393BAA"/>
    <w:rsid w:val="003A0071"/>
    <w:rsid w:val="003A0138"/>
    <w:rsid w:val="003A4F76"/>
    <w:rsid w:val="003A57B3"/>
    <w:rsid w:val="003A6AAF"/>
    <w:rsid w:val="003B0CF9"/>
    <w:rsid w:val="003B207B"/>
    <w:rsid w:val="003B5ACC"/>
    <w:rsid w:val="003B67FD"/>
    <w:rsid w:val="003B6EBE"/>
    <w:rsid w:val="003B713E"/>
    <w:rsid w:val="003C1FC4"/>
    <w:rsid w:val="003C4398"/>
    <w:rsid w:val="003C5200"/>
    <w:rsid w:val="003D1E13"/>
    <w:rsid w:val="003D27F7"/>
    <w:rsid w:val="003E0056"/>
    <w:rsid w:val="003E2F46"/>
    <w:rsid w:val="003E4633"/>
    <w:rsid w:val="003E51DD"/>
    <w:rsid w:val="003F1052"/>
    <w:rsid w:val="003F72B1"/>
    <w:rsid w:val="004001AD"/>
    <w:rsid w:val="004017FD"/>
    <w:rsid w:val="00402C20"/>
    <w:rsid w:val="004038B6"/>
    <w:rsid w:val="00406E1A"/>
    <w:rsid w:val="00420CD5"/>
    <w:rsid w:val="0042308C"/>
    <w:rsid w:val="00424AFD"/>
    <w:rsid w:val="00424F3E"/>
    <w:rsid w:val="004309FC"/>
    <w:rsid w:val="004332C5"/>
    <w:rsid w:val="00433E18"/>
    <w:rsid w:val="00433F07"/>
    <w:rsid w:val="00435DAB"/>
    <w:rsid w:val="0044322E"/>
    <w:rsid w:val="00443C71"/>
    <w:rsid w:val="0045176B"/>
    <w:rsid w:val="00453F33"/>
    <w:rsid w:val="004563D4"/>
    <w:rsid w:val="00456895"/>
    <w:rsid w:val="0046333E"/>
    <w:rsid w:val="00463714"/>
    <w:rsid w:val="00464C27"/>
    <w:rsid w:val="0046578A"/>
    <w:rsid w:val="00467AA2"/>
    <w:rsid w:val="00473CA5"/>
    <w:rsid w:val="004744DD"/>
    <w:rsid w:val="00477D68"/>
    <w:rsid w:val="00486518"/>
    <w:rsid w:val="00487E09"/>
    <w:rsid w:val="00491EA1"/>
    <w:rsid w:val="0049283A"/>
    <w:rsid w:val="00494F93"/>
    <w:rsid w:val="0049631D"/>
    <w:rsid w:val="004A122F"/>
    <w:rsid w:val="004A2306"/>
    <w:rsid w:val="004A2A41"/>
    <w:rsid w:val="004C3A0C"/>
    <w:rsid w:val="004C6D2A"/>
    <w:rsid w:val="004D1899"/>
    <w:rsid w:val="004D1A21"/>
    <w:rsid w:val="004E215C"/>
    <w:rsid w:val="004E485B"/>
    <w:rsid w:val="004F0A39"/>
    <w:rsid w:val="004F3AE9"/>
    <w:rsid w:val="005005B7"/>
    <w:rsid w:val="00500E2A"/>
    <w:rsid w:val="00504CFE"/>
    <w:rsid w:val="005122B9"/>
    <w:rsid w:val="00520A2B"/>
    <w:rsid w:val="005241C2"/>
    <w:rsid w:val="00526622"/>
    <w:rsid w:val="00535C6C"/>
    <w:rsid w:val="00535F7C"/>
    <w:rsid w:val="00541BEB"/>
    <w:rsid w:val="00542345"/>
    <w:rsid w:val="00543D60"/>
    <w:rsid w:val="00545C7E"/>
    <w:rsid w:val="005510FE"/>
    <w:rsid w:val="00551ABD"/>
    <w:rsid w:val="00553A8A"/>
    <w:rsid w:val="0055692B"/>
    <w:rsid w:val="00556B9F"/>
    <w:rsid w:val="00563A66"/>
    <w:rsid w:val="00572A8C"/>
    <w:rsid w:val="00573E92"/>
    <w:rsid w:val="00581BE2"/>
    <w:rsid w:val="005864DD"/>
    <w:rsid w:val="00587326"/>
    <w:rsid w:val="00590CB4"/>
    <w:rsid w:val="00590D9B"/>
    <w:rsid w:val="00595847"/>
    <w:rsid w:val="00595D21"/>
    <w:rsid w:val="005974A0"/>
    <w:rsid w:val="005A0518"/>
    <w:rsid w:val="005A323F"/>
    <w:rsid w:val="005A3B7C"/>
    <w:rsid w:val="005A67E9"/>
    <w:rsid w:val="005A6B85"/>
    <w:rsid w:val="005A6C96"/>
    <w:rsid w:val="005A6CE5"/>
    <w:rsid w:val="005B0255"/>
    <w:rsid w:val="005B267B"/>
    <w:rsid w:val="005B2EAE"/>
    <w:rsid w:val="005B41D5"/>
    <w:rsid w:val="005B5C9D"/>
    <w:rsid w:val="005B7796"/>
    <w:rsid w:val="005B789C"/>
    <w:rsid w:val="005C4D33"/>
    <w:rsid w:val="005C5B3B"/>
    <w:rsid w:val="005C5C3C"/>
    <w:rsid w:val="005C5FBA"/>
    <w:rsid w:val="005D4509"/>
    <w:rsid w:val="005D7F1F"/>
    <w:rsid w:val="005E0364"/>
    <w:rsid w:val="005E119B"/>
    <w:rsid w:val="005E42D1"/>
    <w:rsid w:val="005F1E2D"/>
    <w:rsid w:val="005F2D66"/>
    <w:rsid w:val="005F358B"/>
    <w:rsid w:val="005F6F5B"/>
    <w:rsid w:val="00600BCA"/>
    <w:rsid w:val="00603B73"/>
    <w:rsid w:val="0060416F"/>
    <w:rsid w:val="00614EE1"/>
    <w:rsid w:val="00615B2A"/>
    <w:rsid w:val="00616345"/>
    <w:rsid w:val="006177DE"/>
    <w:rsid w:val="0063256A"/>
    <w:rsid w:val="00637D3C"/>
    <w:rsid w:val="00642158"/>
    <w:rsid w:val="006446E9"/>
    <w:rsid w:val="00644C08"/>
    <w:rsid w:val="006462F3"/>
    <w:rsid w:val="00651529"/>
    <w:rsid w:val="0065166B"/>
    <w:rsid w:val="00653BE0"/>
    <w:rsid w:val="00655D47"/>
    <w:rsid w:val="006577CD"/>
    <w:rsid w:val="00665616"/>
    <w:rsid w:val="006656BF"/>
    <w:rsid w:val="0067084B"/>
    <w:rsid w:val="00670A87"/>
    <w:rsid w:val="00672B06"/>
    <w:rsid w:val="00672FC0"/>
    <w:rsid w:val="0067659E"/>
    <w:rsid w:val="00681A5E"/>
    <w:rsid w:val="00684858"/>
    <w:rsid w:val="00692DB7"/>
    <w:rsid w:val="0069469B"/>
    <w:rsid w:val="00694C20"/>
    <w:rsid w:val="00696180"/>
    <w:rsid w:val="006A0BDF"/>
    <w:rsid w:val="006A0FAC"/>
    <w:rsid w:val="006A1DE9"/>
    <w:rsid w:val="006A2371"/>
    <w:rsid w:val="006A2A48"/>
    <w:rsid w:val="006A3F40"/>
    <w:rsid w:val="006A5DB7"/>
    <w:rsid w:val="006A63FB"/>
    <w:rsid w:val="006B5DCA"/>
    <w:rsid w:val="006C4B47"/>
    <w:rsid w:val="006C50AE"/>
    <w:rsid w:val="006C54C0"/>
    <w:rsid w:val="006C74A1"/>
    <w:rsid w:val="006D095D"/>
    <w:rsid w:val="006D3D88"/>
    <w:rsid w:val="006D4DA1"/>
    <w:rsid w:val="006D5AAD"/>
    <w:rsid w:val="006E053E"/>
    <w:rsid w:val="006E2791"/>
    <w:rsid w:val="006E3D39"/>
    <w:rsid w:val="006E6D78"/>
    <w:rsid w:val="006E7395"/>
    <w:rsid w:val="006E7482"/>
    <w:rsid w:val="006F1FF4"/>
    <w:rsid w:val="006F338C"/>
    <w:rsid w:val="006F7D22"/>
    <w:rsid w:val="0070045D"/>
    <w:rsid w:val="0070086D"/>
    <w:rsid w:val="00717599"/>
    <w:rsid w:val="00717F3F"/>
    <w:rsid w:val="00720DCF"/>
    <w:rsid w:val="00720F3D"/>
    <w:rsid w:val="007239A4"/>
    <w:rsid w:val="007255BF"/>
    <w:rsid w:val="00726C52"/>
    <w:rsid w:val="007302F2"/>
    <w:rsid w:val="0073111A"/>
    <w:rsid w:val="00741279"/>
    <w:rsid w:val="007413BD"/>
    <w:rsid w:val="00741428"/>
    <w:rsid w:val="007520D8"/>
    <w:rsid w:val="00752CB5"/>
    <w:rsid w:val="00754604"/>
    <w:rsid w:val="007552DC"/>
    <w:rsid w:val="007557B0"/>
    <w:rsid w:val="007563F6"/>
    <w:rsid w:val="00756CEF"/>
    <w:rsid w:val="00766A27"/>
    <w:rsid w:val="0077157F"/>
    <w:rsid w:val="00772829"/>
    <w:rsid w:val="00773A0B"/>
    <w:rsid w:val="007755F2"/>
    <w:rsid w:val="00780B84"/>
    <w:rsid w:val="00784A6F"/>
    <w:rsid w:val="00784FBF"/>
    <w:rsid w:val="00791D1C"/>
    <w:rsid w:val="00793F40"/>
    <w:rsid w:val="0079505E"/>
    <w:rsid w:val="007950FE"/>
    <w:rsid w:val="0079688E"/>
    <w:rsid w:val="007969A5"/>
    <w:rsid w:val="007976AB"/>
    <w:rsid w:val="007A2D85"/>
    <w:rsid w:val="007A32C3"/>
    <w:rsid w:val="007A38A1"/>
    <w:rsid w:val="007A5FE0"/>
    <w:rsid w:val="007A6E40"/>
    <w:rsid w:val="007A7343"/>
    <w:rsid w:val="007B202D"/>
    <w:rsid w:val="007B28CA"/>
    <w:rsid w:val="007B300C"/>
    <w:rsid w:val="007B338F"/>
    <w:rsid w:val="007C1D19"/>
    <w:rsid w:val="007C2CB5"/>
    <w:rsid w:val="007D1D96"/>
    <w:rsid w:val="007D6097"/>
    <w:rsid w:val="007E15D8"/>
    <w:rsid w:val="007E6149"/>
    <w:rsid w:val="007F1A1F"/>
    <w:rsid w:val="007F1B77"/>
    <w:rsid w:val="007F3BA1"/>
    <w:rsid w:val="007F6281"/>
    <w:rsid w:val="007F6E50"/>
    <w:rsid w:val="007F71E8"/>
    <w:rsid w:val="007F7AFD"/>
    <w:rsid w:val="00800B1A"/>
    <w:rsid w:val="00800FD8"/>
    <w:rsid w:val="00804DD0"/>
    <w:rsid w:val="00805428"/>
    <w:rsid w:val="008069A3"/>
    <w:rsid w:val="00806AA3"/>
    <w:rsid w:val="00806BCB"/>
    <w:rsid w:val="00811382"/>
    <w:rsid w:val="00813771"/>
    <w:rsid w:val="0081723F"/>
    <w:rsid w:val="00817ED4"/>
    <w:rsid w:val="00823CD3"/>
    <w:rsid w:val="00825413"/>
    <w:rsid w:val="00831239"/>
    <w:rsid w:val="008326CA"/>
    <w:rsid w:val="00834594"/>
    <w:rsid w:val="00835F02"/>
    <w:rsid w:val="00837403"/>
    <w:rsid w:val="00837BB2"/>
    <w:rsid w:val="00837F07"/>
    <w:rsid w:val="00840ED8"/>
    <w:rsid w:val="0084168D"/>
    <w:rsid w:val="00841E9A"/>
    <w:rsid w:val="00846B60"/>
    <w:rsid w:val="00847854"/>
    <w:rsid w:val="008479D4"/>
    <w:rsid w:val="008515D8"/>
    <w:rsid w:val="00851711"/>
    <w:rsid w:val="008541B7"/>
    <w:rsid w:val="00855F64"/>
    <w:rsid w:val="0086077A"/>
    <w:rsid w:val="00861626"/>
    <w:rsid w:val="00864EF3"/>
    <w:rsid w:val="00865C3F"/>
    <w:rsid w:val="00866890"/>
    <w:rsid w:val="00870F97"/>
    <w:rsid w:val="00873782"/>
    <w:rsid w:val="008806F5"/>
    <w:rsid w:val="00882B75"/>
    <w:rsid w:val="008836B1"/>
    <w:rsid w:val="008847A3"/>
    <w:rsid w:val="0089268A"/>
    <w:rsid w:val="008939AF"/>
    <w:rsid w:val="00896324"/>
    <w:rsid w:val="008A02AA"/>
    <w:rsid w:val="008A1C16"/>
    <w:rsid w:val="008A387F"/>
    <w:rsid w:val="008A6E36"/>
    <w:rsid w:val="008B0EE3"/>
    <w:rsid w:val="008B3378"/>
    <w:rsid w:val="008B4517"/>
    <w:rsid w:val="008B4D8F"/>
    <w:rsid w:val="008B5972"/>
    <w:rsid w:val="008B63FB"/>
    <w:rsid w:val="008B7BA1"/>
    <w:rsid w:val="008C2B08"/>
    <w:rsid w:val="008D37A7"/>
    <w:rsid w:val="008D6BD8"/>
    <w:rsid w:val="008E1895"/>
    <w:rsid w:val="008E2658"/>
    <w:rsid w:val="008E4741"/>
    <w:rsid w:val="008F0087"/>
    <w:rsid w:val="008F5EB4"/>
    <w:rsid w:val="008F70E2"/>
    <w:rsid w:val="0090074B"/>
    <w:rsid w:val="00901501"/>
    <w:rsid w:val="00907B49"/>
    <w:rsid w:val="009109B1"/>
    <w:rsid w:val="009112F5"/>
    <w:rsid w:val="00913A58"/>
    <w:rsid w:val="009200A5"/>
    <w:rsid w:val="0092071A"/>
    <w:rsid w:val="00923B02"/>
    <w:rsid w:val="009307DA"/>
    <w:rsid w:val="00930EF4"/>
    <w:rsid w:val="00931627"/>
    <w:rsid w:val="00933908"/>
    <w:rsid w:val="0093401E"/>
    <w:rsid w:val="00934C60"/>
    <w:rsid w:val="00936960"/>
    <w:rsid w:val="00941866"/>
    <w:rsid w:val="00945510"/>
    <w:rsid w:val="00946C58"/>
    <w:rsid w:val="00950F42"/>
    <w:rsid w:val="009516EA"/>
    <w:rsid w:val="009551FF"/>
    <w:rsid w:val="00962F25"/>
    <w:rsid w:val="009638BD"/>
    <w:rsid w:val="00965BF6"/>
    <w:rsid w:val="00972373"/>
    <w:rsid w:val="00975431"/>
    <w:rsid w:val="009827F1"/>
    <w:rsid w:val="00985432"/>
    <w:rsid w:val="00987050"/>
    <w:rsid w:val="009873D6"/>
    <w:rsid w:val="00994C8A"/>
    <w:rsid w:val="009955C1"/>
    <w:rsid w:val="00997BC6"/>
    <w:rsid w:val="009A0D34"/>
    <w:rsid w:val="009A235F"/>
    <w:rsid w:val="009A7DA8"/>
    <w:rsid w:val="009B623B"/>
    <w:rsid w:val="009B6F00"/>
    <w:rsid w:val="009B788C"/>
    <w:rsid w:val="009C3049"/>
    <w:rsid w:val="009C4048"/>
    <w:rsid w:val="009C5616"/>
    <w:rsid w:val="009D37FC"/>
    <w:rsid w:val="009E1EC9"/>
    <w:rsid w:val="009E6244"/>
    <w:rsid w:val="009E64F0"/>
    <w:rsid w:val="009F003E"/>
    <w:rsid w:val="009F0CD5"/>
    <w:rsid w:val="009F0F21"/>
    <w:rsid w:val="009F1464"/>
    <w:rsid w:val="009F267A"/>
    <w:rsid w:val="009F42F2"/>
    <w:rsid w:val="009F5C6E"/>
    <w:rsid w:val="009F5EEE"/>
    <w:rsid w:val="009F6599"/>
    <w:rsid w:val="00A033D7"/>
    <w:rsid w:val="00A06A79"/>
    <w:rsid w:val="00A0726E"/>
    <w:rsid w:val="00A07AB2"/>
    <w:rsid w:val="00A10F68"/>
    <w:rsid w:val="00A17076"/>
    <w:rsid w:val="00A23844"/>
    <w:rsid w:val="00A24701"/>
    <w:rsid w:val="00A30A1E"/>
    <w:rsid w:val="00A30E02"/>
    <w:rsid w:val="00A34238"/>
    <w:rsid w:val="00A46D43"/>
    <w:rsid w:val="00A54489"/>
    <w:rsid w:val="00A57321"/>
    <w:rsid w:val="00A6000D"/>
    <w:rsid w:val="00A64003"/>
    <w:rsid w:val="00A656D6"/>
    <w:rsid w:val="00A665FD"/>
    <w:rsid w:val="00A72613"/>
    <w:rsid w:val="00A73A40"/>
    <w:rsid w:val="00A73D98"/>
    <w:rsid w:val="00A75866"/>
    <w:rsid w:val="00A7664D"/>
    <w:rsid w:val="00A819A5"/>
    <w:rsid w:val="00A82226"/>
    <w:rsid w:val="00A8413D"/>
    <w:rsid w:val="00A85431"/>
    <w:rsid w:val="00A924C3"/>
    <w:rsid w:val="00A9409D"/>
    <w:rsid w:val="00A9763B"/>
    <w:rsid w:val="00AA1970"/>
    <w:rsid w:val="00AA32B2"/>
    <w:rsid w:val="00AA401D"/>
    <w:rsid w:val="00AA40EA"/>
    <w:rsid w:val="00AB004F"/>
    <w:rsid w:val="00AB2AB4"/>
    <w:rsid w:val="00AB3265"/>
    <w:rsid w:val="00AB4C5F"/>
    <w:rsid w:val="00AB5988"/>
    <w:rsid w:val="00AB5FF7"/>
    <w:rsid w:val="00AC6D34"/>
    <w:rsid w:val="00AD04D0"/>
    <w:rsid w:val="00AD05C9"/>
    <w:rsid w:val="00AD0DD7"/>
    <w:rsid w:val="00AD27EB"/>
    <w:rsid w:val="00AE0C5F"/>
    <w:rsid w:val="00AE0C76"/>
    <w:rsid w:val="00AE25C6"/>
    <w:rsid w:val="00AE7074"/>
    <w:rsid w:val="00AE7740"/>
    <w:rsid w:val="00AF0B5D"/>
    <w:rsid w:val="00AF0FFB"/>
    <w:rsid w:val="00AF10D1"/>
    <w:rsid w:val="00AF349C"/>
    <w:rsid w:val="00AF437F"/>
    <w:rsid w:val="00AF4E2D"/>
    <w:rsid w:val="00AF78FA"/>
    <w:rsid w:val="00AF7BD6"/>
    <w:rsid w:val="00B0000B"/>
    <w:rsid w:val="00B04FA7"/>
    <w:rsid w:val="00B059E4"/>
    <w:rsid w:val="00B06A33"/>
    <w:rsid w:val="00B1486D"/>
    <w:rsid w:val="00B17DBE"/>
    <w:rsid w:val="00B17E50"/>
    <w:rsid w:val="00B22481"/>
    <w:rsid w:val="00B23273"/>
    <w:rsid w:val="00B23E42"/>
    <w:rsid w:val="00B305D5"/>
    <w:rsid w:val="00B40EE3"/>
    <w:rsid w:val="00B41808"/>
    <w:rsid w:val="00B45F42"/>
    <w:rsid w:val="00B4796C"/>
    <w:rsid w:val="00B479BB"/>
    <w:rsid w:val="00B52010"/>
    <w:rsid w:val="00B54869"/>
    <w:rsid w:val="00B54E33"/>
    <w:rsid w:val="00B55685"/>
    <w:rsid w:val="00B57E7F"/>
    <w:rsid w:val="00B622C1"/>
    <w:rsid w:val="00B671AC"/>
    <w:rsid w:val="00B802A9"/>
    <w:rsid w:val="00B806B7"/>
    <w:rsid w:val="00B8256D"/>
    <w:rsid w:val="00B847CE"/>
    <w:rsid w:val="00B904CA"/>
    <w:rsid w:val="00B96047"/>
    <w:rsid w:val="00B964FA"/>
    <w:rsid w:val="00BA07C7"/>
    <w:rsid w:val="00BA4991"/>
    <w:rsid w:val="00BB2A63"/>
    <w:rsid w:val="00BB62E5"/>
    <w:rsid w:val="00BB673A"/>
    <w:rsid w:val="00BC0179"/>
    <w:rsid w:val="00BC2015"/>
    <w:rsid w:val="00BC64E5"/>
    <w:rsid w:val="00BC7F2A"/>
    <w:rsid w:val="00BD1330"/>
    <w:rsid w:val="00BD4525"/>
    <w:rsid w:val="00BD6B58"/>
    <w:rsid w:val="00BD7546"/>
    <w:rsid w:val="00BE0447"/>
    <w:rsid w:val="00BE1723"/>
    <w:rsid w:val="00BE2255"/>
    <w:rsid w:val="00BE4C80"/>
    <w:rsid w:val="00BE7D30"/>
    <w:rsid w:val="00BF1482"/>
    <w:rsid w:val="00BF1C95"/>
    <w:rsid w:val="00BF2C06"/>
    <w:rsid w:val="00BF418B"/>
    <w:rsid w:val="00BF53E5"/>
    <w:rsid w:val="00BF600B"/>
    <w:rsid w:val="00BF6507"/>
    <w:rsid w:val="00BF7035"/>
    <w:rsid w:val="00BF7C40"/>
    <w:rsid w:val="00C004DF"/>
    <w:rsid w:val="00C01814"/>
    <w:rsid w:val="00C01FB9"/>
    <w:rsid w:val="00C03D8D"/>
    <w:rsid w:val="00C047C4"/>
    <w:rsid w:val="00C04BA4"/>
    <w:rsid w:val="00C109B0"/>
    <w:rsid w:val="00C133EA"/>
    <w:rsid w:val="00C17215"/>
    <w:rsid w:val="00C17436"/>
    <w:rsid w:val="00C231E7"/>
    <w:rsid w:val="00C24365"/>
    <w:rsid w:val="00C25CC4"/>
    <w:rsid w:val="00C260F6"/>
    <w:rsid w:val="00C2622C"/>
    <w:rsid w:val="00C31B88"/>
    <w:rsid w:val="00C32B5F"/>
    <w:rsid w:val="00C43CD4"/>
    <w:rsid w:val="00C46142"/>
    <w:rsid w:val="00C520F3"/>
    <w:rsid w:val="00C6762E"/>
    <w:rsid w:val="00C70E86"/>
    <w:rsid w:val="00C70F69"/>
    <w:rsid w:val="00C7417C"/>
    <w:rsid w:val="00C76848"/>
    <w:rsid w:val="00C7772C"/>
    <w:rsid w:val="00C7781F"/>
    <w:rsid w:val="00C80C41"/>
    <w:rsid w:val="00C842DC"/>
    <w:rsid w:val="00C86237"/>
    <w:rsid w:val="00C924CE"/>
    <w:rsid w:val="00C92D57"/>
    <w:rsid w:val="00C92F8C"/>
    <w:rsid w:val="00C94245"/>
    <w:rsid w:val="00C96862"/>
    <w:rsid w:val="00C97142"/>
    <w:rsid w:val="00CA430E"/>
    <w:rsid w:val="00CA604A"/>
    <w:rsid w:val="00CA66DC"/>
    <w:rsid w:val="00CB0A39"/>
    <w:rsid w:val="00CB0C5F"/>
    <w:rsid w:val="00CB228B"/>
    <w:rsid w:val="00CB2377"/>
    <w:rsid w:val="00CB4278"/>
    <w:rsid w:val="00CB7703"/>
    <w:rsid w:val="00CC06CA"/>
    <w:rsid w:val="00CC19D4"/>
    <w:rsid w:val="00CC1DC8"/>
    <w:rsid w:val="00CC24A5"/>
    <w:rsid w:val="00CC3561"/>
    <w:rsid w:val="00CC3D62"/>
    <w:rsid w:val="00CC6688"/>
    <w:rsid w:val="00CD0F32"/>
    <w:rsid w:val="00CD2D75"/>
    <w:rsid w:val="00CD316D"/>
    <w:rsid w:val="00CD6546"/>
    <w:rsid w:val="00CF27E2"/>
    <w:rsid w:val="00CF3233"/>
    <w:rsid w:val="00CF37F4"/>
    <w:rsid w:val="00CF50E5"/>
    <w:rsid w:val="00CF6F5F"/>
    <w:rsid w:val="00D00A03"/>
    <w:rsid w:val="00D01769"/>
    <w:rsid w:val="00D044A3"/>
    <w:rsid w:val="00D045C3"/>
    <w:rsid w:val="00D05682"/>
    <w:rsid w:val="00D0723C"/>
    <w:rsid w:val="00D10F16"/>
    <w:rsid w:val="00D11305"/>
    <w:rsid w:val="00D12204"/>
    <w:rsid w:val="00D151D5"/>
    <w:rsid w:val="00D1635D"/>
    <w:rsid w:val="00D16A58"/>
    <w:rsid w:val="00D178D4"/>
    <w:rsid w:val="00D20A1E"/>
    <w:rsid w:val="00D22CCF"/>
    <w:rsid w:val="00D25DB6"/>
    <w:rsid w:val="00D3091C"/>
    <w:rsid w:val="00D35801"/>
    <w:rsid w:val="00D44129"/>
    <w:rsid w:val="00D44669"/>
    <w:rsid w:val="00D5694F"/>
    <w:rsid w:val="00D56999"/>
    <w:rsid w:val="00D57BFE"/>
    <w:rsid w:val="00D640A5"/>
    <w:rsid w:val="00D66F3D"/>
    <w:rsid w:val="00D676AF"/>
    <w:rsid w:val="00D7128B"/>
    <w:rsid w:val="00D71B4F"/>
    <w:rsid w:val="00D723DD"/>
    <w:rsid w:val="00D73AD7"/>
    <w:rsid w:val="00D74692"/>
    <w:rsid w:val="00D7797E"/>
    <w:rsid w:val="00D80EA8"/>
    <w:rsid w:val="00D8713C"/>
    <w:rsid w:val="00D90BB2"/>
    <w:rsid w:val="00D91434"/>
    <w:rsid w:val="00D96356"/>
    <w:rsid w:val="00DA4B87"/>
    <w:rsid w:val="00DB72B7"/>
    <w:rsid w:val="00DC213D"/>
    <w:rsid w:val="00DC374F"/>
    <w:rsid w:val="00DC5418"/>
    <w:rsid w:val="00DC64CB"/>
    <w:rsid w:val="00DD1EA7"/>
    <w:rsid w:val="00DD2F90"/>
    <w:rsid w:val="00DD75F5"/>
    <w:rsid w:val="00DE2E3B"/>
    <w:rsid w:val="00DE3994"/>
    <w:rsid w:val="00DE5C15"/>
    <w:rsid w:val="00DE618A"/>
    <w:rsid w:val="00DE6F72"/>
    <w:rsid w:val="00DF21CC"/>
    <w:rsid w:val="00DF2FC6"/>
    <w:rsid w:val="00DF63E0"/>
    <w:rsid w:val="00E03009"/>
    <w:rsid w:val="00E037C8"/>
    <w:rsid w:val="00E05650"/>
    <w:rsid w:val="00E11F6F"/>
    <w:rsid w:val="00E132BF"/>
    <w:rsid w:val="00E13541"/>
    <w:rsid w:val="00E14E49"/>
    <w:rsid w:val="00E1560E"/>
    <w:rsid w:val="00E17E3F"/>
    <w:rsid w:val="00E24EAE"/>
    <w:rsid w:val="00E338CB"/>
    <w:rsid w:val="00E33BCD"/>
    <w:rsid w:val="00E37EDF"/>
    <w:rsid w:val="00E40319"/>
    <w:rsid w:val="00E441C3"/>
    <w:rsid w:val="00E479AA"/>
    <w:rsid w:val="00E50CD0"/>
    <w:rsid w:val="00E51FA8"/>
    <w:rsid w:val="00E53243"/>
    <w:rsid w:val="00E5564E"/>
    <w:rsid w:val="00E600D9"/>
    <w:rsid w:val="00E61A91"/>
    <w:rsid w:val="00E61CA9"/>
    <w:rsid w:val="00E661F6"/>
    <w:rsid w:val="00E70D75"/>
    <w:rsid w:val="00E7341D"/>
    <w:rsid w:val="00E74332"/>
    <w:rsid w:val="00E81C95"/>
    <w:rsid w:val="00E8563B"/>
    <w:rsid w:val="00E859FC"/>
    <w:rsid w:val="00E92342"/>
    <w:rsid w:val="00E93A50"/>
    <w:rsid w:val="00EA018C"/>
    <w:rsid w:val="00EA01A5"/>
    <w:rsid w:val="00EA07F9"/>
    <w:rsid w:val="00EA0D53"/>
    <w:rsid w:val="00EA1175"/>
    <w:rsid w:val="00EA185E"/>
    <w:rsid w:val="00EA2120"/>
    <w:rsid w:val="00EA2B6A"/>
    <w:rsid w:val="00EA3941"/>
    <w:rsid w:val="00EA584C"/>
    <w:rsid w:val="00EA6328"/>
    <w:rsid w:val="00EB0260"/>
    <w:rsid w:val="00EB5E99"/>
    <w:rsid w:val="00EC2773"/>
    <w:rsid w:val="00EC5625"/>
    <w:rsid w:val="00EC6EAC"/>
    <w:rsid w:val="00ED1B49"/>
    <w:rsid w:val="00ED1F42"/>
    <w:rsid w:val="00ED23F4"/>
    <w:rsid w:val="00ED2D7D"/>
    <w:rsid w:val="00ED3C2A"/>
    <w:rsid w:val="00ED56A1"/>
    <w:rsid w:val="00ED5BA4"/>
    <w:rsid w:val="00ED6914"/>
    <w:rsid w:val="00ED7C8F"/>
    <w:rsid w:val="00EE0132"/>
    <w:rsid w:val="00EE0675"/>
    <w:rsid w:val="00EE1A3B"/>
    <w:rsid w:val="00EE3A17"/>
    <w:rsid w:val="00EE78E6"/>
    <w:rsid w:val="00EF1393"/>
    <w:rsid w:val="00EF2178"/>
    <w:rsid w:val="00EF55B5"/>
    <w:rsid w:val="00F0198A"/>
    <w:rsid w:val="00F04239"/>
    <w:rsid w:val="00F057CF"/>
    <w:rsid w:val="00F10099"/>
    <w:rsid w:val="00F11D29"/>
    <w:rsid w:val="00F17A65"/>
    <w:rsid w:val="00F234B6"/>
    <w:rsid w:val="00F30FB4"/>
    <w:rsid w:val="00F35CC4"/>
    <w:rsid w:val="00F40050"/>
    <w:rsid w:val="00F40967"/>
    <w:rsid w:val="00F422CE"/>
    <w:rsid w:val="00F44187"/>
    <w:rsid w:val="00F471FC"/>
    <w:rsid w:val="00F47BAF"/>
    <w:rsid w:val="00F51F28"/>
    <w:rsid w:val="00F535CD"/>
    <w:rsid w:val="00F550B3"/>
    <w:rsid w:val="00F561CB"/>
    <w:rsid w:val="00F60B8D"/>
    <w:rsid w:val="00F63D38"/>
    <w:rsid w:val="00F650C3"/>
    <w:rsid w:val="00F72CA5"/>
    <w:rsid w:val="00F739EA"/>
    <w:rsid w:val="00F73BAF"/>
    <w:rsid w:val="00F740CA"/>
    <w:rsid w:val="00F74933"/>
    <w:rsid w:val="00F82E0F"/>
    <w:rsid w:val="00F8377C"/>
    <w:rsid w:val="00F84BA7"/>
    <w:rsid w:val="00F86375"/>
    <w:rsid w:val="00F94B96"/>
    <w:rsid w:val="00F95413"/>
    <w:rsid w:val="00F96400"/>
    <w:rsid w:val="00FA2E00"/>
    <w:rsid w:val="00FA4B57"/>
    <w:rsid w:val="00FA5C3A"/>
    <w:rsid w:val="00FB1A13"/>
    <w:rsid w:val="00FB2643"/>
    <w:rsid w:val="00FB3062"/>
    <w:rsid w:val="00FC3842"/>
    <w:rsid w:val="00FD2494"/>
    <w:rsid w:val="00FD30A3"/>
    <w:rsid w:val="00FD51F6"/>
    <w:rsid w:val="00FE44F1"/>
    <w:rsid w:val="00FE72EE"/>
    <w:rsid w:val="00FF25FF"/>
    <w:rsid w:val="00FF2C6A"/>
    <w:rsid w:val="00FF3FD4"/>
    <w:rsid w:val="00FF4082"/>
    <w:rsid w:val="00FF5027"/>
    <w:rsid w:val="00FF5618"/>
    <w:rsid w:val="00FF5B68"/>
    <w:rsid w:val="00FF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5F02"/>
  <w15:chartTrackingRefBased/>
  <w15:docId w15:val="{92E8213D-58B0-4741-A4AD-D5EED6C2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56F"/>
  </w:style>
  <w:style w:type="paragraph" w:styleId="Heading1">
    <w:name w:val="heading 1"/>
    <w:basedOn w:val="Normal"/>
    <w:next w:val="Normal"/>
    <w:link w:val="Heading1Char"/>
    <w:uiPriority w:val="9"/>
    <w:qFormat/>
    <w:rsid w:val="0031056F"/>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31056F"/>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56F"/>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56F"/>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31056F"/>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31056F"/>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31056F"/>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31056F"/>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31056F"/>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56F"/>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310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056F"/>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56F"/>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31056F"/>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31056F"/>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31056F"/>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31056F"/>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31056F"/>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31056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31056F"/>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31056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31056F"/>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31056F"/>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31056F"/>
    <w:rPr>
      <w:color w:val="0E2841" w:themeColor="text2"/>
      <w:sz w:val="24"/>
      <w:szCs w:val="24"/>
    </w:rPr>
  </w:style>
  <w:style w:type="paragraph" w:styleId="ListParagraph">
    <w:name w:val="List Paragraph"/>
    <w:basedOn w:val="Normal"/>
    <w:uiPriority w:val="34"/>
    <w:qFormat/>
    <w:rsid w:val="00FF5B68"/>
    <w:pPr>
      <w:ind w:left="720"/>
      <w:contextualSpacing/>
    </w:pPr>
  </w:style>
  <w:style w:type="character" w:styleId="IntenseEmphasis">
    <w:name w:val="Intense Emphasis"/>
    <w:basedOn w:val="DefaultParagraphFont"/>
    <w:uiPriority w:val="21"/>
    <w:qFormat/>
    <w:rsid w:val="0031056F"/>
    <w:rPr>
      <w:b/>
      <w:bCs/>
      <w:i/>
      <w:iCs/>
    </w:rPr>
  </w:style>
  <w:style w:type="paragraph" w:styleId="IntenseQuote">
    <w:name w:val="Intense Quote"/>
    <w:basedOn w:val="Normal"/>
    <w:next w:val="Normal"/>
    <w:link w:val="IntenseQuoteChar"/>
    <w:uiPriority w:val="30"/>
    <w:qFormat/>
    <w:rsid w:val="0031056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31056F"/>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31056F"/>
    <w:rPr>
      <w:b/>
      <w:bCs/>
      <w:smallCaps/>
      <w:color w:val="0E2841" w:themeColor="text2"/>
      <w:u w:val="single"/>
    </w:rPr>
  </w:style>
  <w:style w:type="character" w:styleId="PlaceholderText">
    <w:name w:val="Placeholder Text"/>
    <w:basedOn w:val="DefaultParagraphFont"/>
    <w:uiPriority w:val="99"/>
    <w:semiHidden/>
    <w:rsid w:val="00CC6688"/>
    <w:rPr>
      <w:color w:val="666666"/>
    </w:rPr>
  </w:style>
  <w:style w:type="character" w:styleId="CommentReference">
    <w:name w:val="annotation reference"/>
    <w:basedOn w:val="DefaultParagraphFont"/>
    <w:uiPriority w:val="99"/>
    <w:semiHidden/>
    <w:unhideWhenUsed/>
    <w:rsid w:val="00DE6F72"/>
    <w:rPr>
      <w:sz w:val="16"/>
      <w:szCs w:val="16"/>
    </w:rPr>
  </w:style>
  <w:style w:type="paragraph" w:styleId="CommentText">
    <w:name w:val="annotation text"/>
    <w:basedOn w:val="Normal"/>
    <w:link w:val="CommentTextChar"/>
    <w:uiPriority w:val="99"/>
    <w:unhideWhenUsed/>
    <w:rsid w:val="00DE6F72"/>
    <w:pPr>
      <w:spacing w:line="240" w:lineRule="auto"/>
    </w:pPr>
    <w:rPr>
      <w:sz w:val="20"/>
      <w:szCs w:val="20"/>
    </w:rPr>
  </w:style>
  <w:style w:type="character" w:customStyle="1" w:styleId="CommentTextChar">
    <w:name w:val="Comment Text Char"/>
    <w:basedOn w:val="DefaultParagraphFont"/>
    <w:link w:val="CommentText"/>
    <w:uiPriority w:val="99"/>
    <w:rsid w:val="00DE6F72"/>
    <w:rPr>
      <w:sz w:val="20"/>
      <w:szCs w:val="20"/>
    </w:rPr>
  </w:style>
  <w:style w:type="paragraph" w:styleId="CommentSubject">
    <w:name w:val="annotation subject"/>
    <w:basedOn w:val="CommentText"/>
    <w:next w:val="CommentText"/>
    <w:link w:val="CommentSubjectChar"/>
    <w:uiPriority w:val="99"/>
    <w:semiHidden/>
    <w:unhideWhenUsed/>
    <w:rsid w:val="00DE6F72"/>
    <w:rPr>
      <w:b/>
      <w:bCs/>
    </w:rPr>
  </w:style>
  <w:style w:type="character" w:customStyle="1" w:styleId="CommentSubjectChar">
    <w:name w:val="Comment Subject Char"/>
    <w:basedOn w:val="CommentTextChar"/>
    <w:link w:val="CommentSubject"/>
    <w:uiPriority w:val="99"/>
    <w:semiHidden/>
    <w:rsid w:val="00DE6F72"/>
    <w:rPr>
      <w:b/>
      <w:bCs/>
      <w:sz w:val="20"/>
      <w:szCs w:val="20"/>
    </w:rPr>
  </w:style>
  <w:style w:type="character" w:styleId="Hyperlink">
    <w:name w:val="Hyperlink"/>
    <w:basedOn w:val="DefaultParagraphFont"/>
    <w:uiPriority w:val="99"/>
    <w:unhideWhenUsed/>
    <w:rsid w:val="00DE6F72"/>
    <w:rPr>
      <w:color w:val="467886" w:themeColor="hyperlink"/>
      <w:u w:val="single"/>
    </w:rPr>
  </w:style>
  <w:style w:type="character" w:styleId="UnresolvedMention">
    <w:name w:val="Unresolved Mention"/>
    <w:basedOn w:val="DefaultParagraphFont"/>
    <w:uiPriority w:val="99"/>
    <w:semiHidden/>
    <w:unhideWhenUsed/>
    <w:rsid w:val="00DE6F72"/>
    <w:rPr>
      <w:color w:val="605E5C"/>
      <w:shd w:val="clear" w:color="auto" w:fill="E1DFDD"/>
    </w:rPr>
  </w:style>
  <w:style w:type="paragraph" w:styleId="Revision">
    <w:name w:val="Revision"/>
    <w:hidden/>
    <w:uiPriority w:val="99"/>
    <w:semiHidden/>
    <w:rsid w:val="004F3AE9"/>
    <w:pPr>
      <w:spacing w:after="0" w:line="240" w:lineRule="auto"/>
    </w:pPr>
  </w:style>
  <w:style w:type="table" w:styleId="TableGrid">
    <w:name w:val="Table Grid"/>
    <w:basedOn w:val="TableNormal"/>
    <w:uiPriority w:val="39"/>
    <w:rsid w:val="001B5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056F"/>
    <w:pPr>
      <w:spacing w:line="240" w:lineRule="auto"/>
    </w:pPr>
    <w:rPr>
      <w:b/>
      <w:bCs/>
      <w:smallCaps/>
      <w:color w:val="0E2841" w:themeColor="text2"/>
    </w:rPr>
  </w:style>
  <w:style w:type="character" w:styleId="FollowedHyperlink">
    <w:name w:val="FollowedHyperlink"/>
    <w:basedOn w:val="DefaultParagraphFont"/>
    <w:uiPriority w:val="99"/>
    <w:semiHidden/>
    <w:unhideWhenUsed/>
    <w:rsid w:val="00B1486D"/>
    <w:rPr>
      <w:color w:val="96607D" w:themeColor="followedHyperlink"/>
      <w:u w:val="single"/>
    </w:rPr>
  </w:style>
  <w:style w:type="paragraph" w:customStyle="1" w:styleId="EndNoteBibliographyTitle">
    <w:name w:val="EndNote Bibliography Title"/>
    <w:basedOn w:val="Normal"/>
    <w:link w:val="EndNoteBibliographyTitleChar"/>
    <w:rsid w:val="00ED2D7D"/>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ED2D7D"/>
    <w:rPr>
      <w:rFonts w:ascii="Aptos" w:hAnsi="Aptos"/>
      <w:noProof/>
    </w:rPr>
  </w:style>
  <w:style w:type="paragraph" w:customStyle="1" w:styleId="EndNoteBibliography">
    <w:name w:val="EndNote Bibliography"/>
    <w:basedOn w:val="Normal"/>
    <w:link w:val="EndNoteBibliographyChar"/>
    <w:rsid w:val="00ED2D7D"/>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ED2D7D"/>
    <w:rPr>
      <w:rFonts w:ascii="Aptos" w:hAnsi="Aptos"/>
      <w:noProof/>
    </w:rPr>
  </w:style>
  <w:style w:type="character" w:styleId="Strong">
    <w:name w:val="Strong"/>
    <w:basedOn w:val="DefaultParagraphFont"/>
    <w:uiPriority w:val="22"/>
    <w:qFormat/>
    <w:rsid w:val="0031056F"/>
    <w:rPr>
      <w:b/>
      <w:bCs/>
    </w:rPr>
  </w:style>
  <w:style w:type="character" w:styleId="Emphasis">
    <w:name w:val="Emphasis"/>
    <w:basedOn w:val="DefaultParagraphFont"/>
    <w:uiPriority w:val="20"/>
    <w:qFormat/>
    <w:rsid w:val="0031056F"/>
    <w:rPr>
      <w:i/>
      <w:iCs/>
    </w:rPr>
  </w:style>
  <w:style w:type="paragraph" w:styleId="NoSpacing">
    <w:name w:val="No Spacing"/>
    <w:uiPriority w:val="1"/>
    <w:qFormat/>
    <w:rsid w:val="0031056F"/>
    <w:pPr>
      <w:spacing w:after="0" w:line="240" w:lineRule="auto"/>
    </w:pPr>
  </w:style>
  <w:style w:type="character" w:styleId="SubtleEmphasis">
    <w:name w:val="Subtle Emphasis"/>
    <w:basedOn w:val="DefaultParagraphFont"/>
    <w:uiPriority w:val="19"/>
    <w:qFormat/>
    <w:rsid w:val="0031056F"/>
    <w:rPr>
      <w:i/>
      <w:iCs/>
      <w:color w:val="595959" w:themeColor="text1" w:themeTint="A6"/>
    </w:rPr>
  </w:style>
  <w:style w:type="character" w:styleId="SubtleReference">
    <w:name w:val="Subtle Reference"/>
    <w:basedOn w:val="DefaultParagraphFont"/>
    <w:uiPriority w:val="31"/>
    <w:qFormat/>
    <w:rsid w:val="0031056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1056F"/>
    <w:rPr>
      <w:b/>
      <w:bCs/>
      <w:smallCaps/>
      <w:spacing w:val="10"/>
    </w:rPr>
  </w:style>
  <w:style w:type="paragraph" w:styleId="TOCHeading">
    <w:name w:val="TOC Heading"/>
    <w:basedOn w:val="Heading1"/>
    <w:next w:val="Normal"/>
    <w:uiPriority w:val="39"/>
    <w:semiHidden/>
    <w:unhideWhenUsed/>
    <w:qFormat/>
    <w:rsid w:val="0031056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083">
      <w:bodyDiv w:val="1"/>
      <w:marLeft w:val="0"/>
      <w:marRight w:val="0"/>
      <w:marTop w:val="0"/>
      <w:marBottom w:val="0"/>
      <w:divBdr>
        <w:top w:val="none" w:sz="0" w:space="0" w:color="auto"/>
        <w:left w:val="none" w:sz="0" w:space="0" w:color="auto"/>
        <w:bottom w:val="none" w:sz="0" w:space="0" w:color="auto"/>
        <w:right w:val="none" w:sz="0" w:space="0" w:color="auto"/>
      </w:divBdr>
    </w:div>
    <w:div w:id="77484584">
      <w:bodyDiv w:val="1"/>
      <w:marLeft w:val="0"/>
      <w:marRight w:val="0"/>
      <w:marTop w:val="0"/>
      <w:marBottom w:val="0"/>
      <w:divBdr>
        <w:top w:val="none" w:sz="0" w:space="0" w:color="auto"/>
        <w:left w:val="none" w:sz="0" w:space="0" w:color="auto"/>
        <w:bottom w:val="none" w:sz="0" w:space="0" w:color="auto"/>
        <w:right w:val="none" w:sz="0" w:space="0" w:color="auto"/>
      </w:divBdr>
    </w:div>
    <w:div w:id="878249582">
      <w:bodyDiv w:val="1"/>
      <w:marLeft w:val="0"/>
      <w:marRight w:val="0"/>
      <w:marTop w:val="0"/>
      <w:marBottom w:val="0"/>
      <w:divBdr>
        <w:top w:val="none" w:sz="0" w:space="0" w:color="auto"/>
        <w:left w:val="none" w:sz="0" w:space="0" w:color="auto"/>
        <w:bottom w:val="none" w:sz="0" w:space="0" w:color="auto"/>
        <w:right w:val="none" w:sz="0" w:space="0" w:color="auto"/>
      </w:divBdr>
    </w:div>
    <w:div w:id="908616728">
      <w:bodyDiv w:val="1"/>
      <w:marLeft w:val="0"/>
      <w:marRight w:val="0"/>
      <w:marTop w:val="0"/>
      <w:marBottom w:val="0"/>
      <w:divBdr>
        <w:top w:val="none" w:sz="0" w:space="0" w:color="auto"/>
        <w:left w:val="none" w:sz="0" w:space="0" w:color="auto"/>
        <w:bottom w:val="none" w:sz="0" w:space="0" w:color="auto"/>
        <w:right w:val="none" w:sz="0" w:space="0" w:color="auto"/>
      </w:divBdr>
    </w:div>
    <w:div w:id="1232158835">
      <w:bodyDiv w:val="1"/>
      <w:marLeft w:val="0"/>
      <w:marRight w:val="0"/>
      <w:marTop w:val="0"/>
      <w:marBottom w:val="0"/>
      <w:divBdr>
        <w:top w:val="none" w:sz="0" w:space="0" w:color="auto"/>
        <w:left w:val="none" w:sz="0" w:space="0" w:color="auto"/>
        <w:bottom w:val="none" w:sz="0" w:space="0" w:color="auto"/>
        <w:right w:val="none" w:sz="0" w:space="0" w:color="auto"/>
      </w:divBdr>
    </w:div>
    <w:div w:id="1383292738">
      <w:bodyDiv w:val="1"/>
      <w:marLeft w:val="0"/>
      <w:marRight w:val="0"/>
      <w:marTop w:val="0"/>
      <w:marBottom w:val="0"/>
      <w:divBdr>
        <w:top w:val="none" w:sz="0" w:space="0" w:color="auto"/>
        <w:left w:val="none" w:sz="0" w:space="0" w:color="auto"/>
        <w:bottom w:val="none" w:sz="0" w:space="0" w:color="auto"/>
        <w:right w:val="none" w:sz="0" w:space="0" w:color="auto"/>
      </w:divBdr>
    </w:div>
    <w:div w:id="1869180946">
      <w:bodyDiv w:val="1"/>
      <w:marLeft w:val="0"/>
      <w:marRight w:val="0"/>
      <w:marTop w:val="0"/>
      <w:marBottom w:val="0"/>
      <w:divBdr>
        <w:top w:val="none" w:sz="0" w:space="0" w:color="auto"/>
        <w:left w:val="none" w:sz="0" w:space="0" w:color="auto"/>
        <w:bottom w:val="none" w:sz="0" w:space="0" w:color="auto"/>
        <w:right w:val="none" w:sz="0" w:space="0" w:color="auto"/>
      </w:divBdr>
    </w:div>
    <w:div w:id="1925646216">
      <w:bodyDiv w:val="1"/>
      <w:marLeft w:val="0"/>
      <w:marRight w:val="0"/>
      <w:marTop w:val="0"/>
      <w:marBottom w:val="0"/>
      <w:divBdr>
        <w:top w:val="none" w:sz="0" w:space="0" w:color="auto"/>
        <w:left w:val="none" w:sz="0" w:space="0" w:color="auto"/>
        <w:bottom w:val="none" w:sz="0" w:space="0" w:color="auto"/>
        <w:right w:val="none" w:sz="0" w:space="0" w:color="auto"/>
      </w:divBdr>
    </w:div>
    <w:div w:id="2009366317">
      <w:bodyDiv w:val="1"/>
      <w:marLeft w:val="0"/>
      <w:marRight w:val="0"/>
      <w:marTop w:val="0"/>
      <w:marBottom w:val="0"/>
      <w:divBdr>
        <w:top w:val="none" w:sz="0" w:space="0" w:color="auto"/>
        <w:left w:val="none" w:sz="0" w:space="0" w:color="auto"/>
        <w:bottom w:val="none" w:sz="0" w:space="0" w:color="auto"/>
        <w:right w:val="none" w:sz="0" w:space="0" w:color="auto"/>
      </w:divBdr>
    </w:div>
    <w:div w:id="2087149558">
      <w:bodyDiv w:val="1"/>
      <w:marLeft w:val="0"/>
      <w:marRight w:val="0"/>
      <w:marTop w:val="0"/>
      <w:marBottom w:val="0"/>
      <w:divBdr>
        <w:top w:val="none" w:sz="0" w:space="0" w:color="auto"/>
        <w:left w:val="none" w:sz="0" w:space="0" w:color="auto"/>
        <w:bottom w:val="none" w:sz="0" w:space="0" w:color="auto"/>
        <w:right w:val="none" w:sz="0" w:space="0" w:color="auto"/>
      </w:divBdr>
    </w:div>
    <w:div w:id="212634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census.gov/topics/employment/industry-occupation/about/occupation.html" TargetMode="Externa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hyperlink" Target="https://www.census.gov/topics/employment/industry-occupation/guidance/code-list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cdc.gov/nchs/nvss/mortality_public_use_data.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dc.gov/nchs/data_access/vitalstatsonline.htm" TargetMode="Externa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hyperlink" Target="http://factfinder2.censu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03DAC-F422-4A83-A91C-B7E87CF7EC34}">
  <ds:schemaRefs>
    <ds:schemaRef ds:uri="http://schemas.openxmlformats.org/officeDocument/2006/bibliography"/>
  </ds:schemaRefs>
</ds:datastoreItem>
</file>

<file path=docMetadata/LabelInfo.xml><?xml version="1.0" encoding="utf-8"?>
<clbl:labelList xmlns:clbl="http://schemas.microsoft.com/office/2020/mipLabelMetadata">
  <clbl:label id="{8db864bc-821c-4dd3-a9c9-5002b5129ec6}" enabled="1" method="Standard" siteId="{0b95a125-791c-4f0a-9f9e-99e363117506}"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3836</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Jingbo</dc:creator>
  <cp:keywords/>
  <dc:description/>
  <cp:lastModifiedBy>Plascak, Jesse</cp:lastModifiedBy>
  <cp:revision>2</cp:revision>
  <dcterms:created xsi:type="dcterms:W3CDTF">2025-09-16T18:18:00Z</dcterms:created>
  <dcterms:modified xsi:type="dcterms:W3CDTF">2025-09-16T18:18:00Z</dcterms:modified>
</cp:coreProperties>
</file>