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D05A32"/>
          <w:sz w:val="48"/>
          <w:szCs w:val="48"/>
        </w:rPr>
        <w:t xml:space="preserve">Landmarks</w:t>
      </w:r>
    </w:p>
    <w:p>
      <w:pPr>
        <w:spacing w:after="40"/>
        <w:jc w:val="center"/>
      </w:pPr>
      <w:r>
        <w:rPr>
          <w:rFonts w:ascii="Arial" w:cs="Arial" w:eastAsia="Arial" w:hAnsi="Arial"/>
          <w:color w:val="555555"/>
          <w:sz w:val="28"/>
          <w:szCs w:val="28"/>
        </w:rPr>
        <w:t xml:space="preserve">Competitive Assessment &amp; Takeaways</w:t>
      </w:r>
    </w:p>
    <w:p>
      <w:pPr>
        <w:spacing w:after="400"/>
        <w:jc w:val="center"/>
      </w:pPr>
      <w:r>
        <w:rPr>
          <w:rFonts w:ascii="Arial" w:cs="Arial" w:eastAsia="Arial" w:hAnsi="Arial"/>
          <w:color w:val="888888"/>
          <w:sz w:val="22"/>
          <w:szCs w:val="22"/>
        </w:rPr>
        <w:t xml:space="preserve">April 2026</w:t>
      </w:r>
    </w:p>
    <w:p>
      <w:pPr>
        <w:pStyle w:val="Heading1"/>
      </w:pPr>
      <w:r>
        <w:rPr>
          <w:b/>
          <w:bCs/>
        </w:rPr>
        <w:t xml:space="preserve">1. Market Landscape</w:t>
      </w:r>
    </w:p>
    <w:p>
      <w:pPr>
        <w:spacing w:after="120"/>
      </w:pPr>
      <w:r>
        <w:rPr>
          <w:rFonts w:ascii="Arial" w:cs="Arial" w:eastAsia="Arial" w:hAnsi="Arial"/>
          <w:sz w:val="22"/>
          <w:szCs w:val="22"/>
        </w:rPr>
        <w:t xml:space="preserve">The birthday reminder and gift curation space splits into five groups, each with different strengths. Landmarks competes with something from each group, but no single competitor dominates all dimensions.</w:t>
      </w:r>
    </w:p>
    <w:p>
      <w:pPr>
        <w:pStyle w:val="Heading2"/>
      </w:pPr>
      <w:r>
        <w:rPr>
          <w:b/>
          <w:bCs/>
        </w:rPr>
        <w:t xml:space="preserve">Group A — Default Free Tools (the real competition)</w:t>
      </w:r>
    </w:p>
    <w:p>
      <w:pPr>
        <w:spacing w:after="120"/>
      </w:pPr>
      <w:r>
        <w:rPr>
          <w:rFonts w:ascii="Arial" w:cs="Arial" w:eastAsia="Arial" w:hAnsi="Arial"/>
          <w:sz w:val="22"/>
          <w:szCs w:val="22"/>
        </w:rPr>
        <w:t xml:space="preserve">Google Calendar, Apple Calendar/Contacts, Outlook, Facebook birthdays. Universally installed, zero incremental effort, passable birthday reminders. They do not curate gifts, but users have been trained to accept simple date reminders as sufficient. This is the "good enough" bar Landmarks must clear.</w:t>
      </w:r>
    </w:p>
    <w:p>
      <w:pPr>
        <w:pStyle w:val="Heading2"/>
      </w:pPr>
      <w:r>
        <w:rPr>
          <w:b/>
          <w:bCs/>
        </w:rPr>
        <w:t xml:space="preserve">Group B — Dedicated Birthday Reminder Apps</w:t>
      </w:r>
    </w:p>
    <w:p>
      <w:pPr>
        <w:spacing w:after="120"/>
      </w:pPr>
      <w:r>
        <w:rPr>
          <w:rFonts w:ascii="Arial" w:cs="Arial" w:eastAsia="Arial" w:hAnsi="Arial"/>
          <w:sz w:val="22"/>
          <w:szCs w:val="22"/>
        </w:rPr>
        <w:t xml:space="preserve">Cake, BirthdayAlarm, hip, Dayze, birthdays.app. Mobile-first, mostly freemium ($3–5/mo premium). Some are charming (Cake, hip), some privacy-first (Dayze), one is email/SMS-based (birthdays.app). None do curated gifts well. This is Landmarks’ nearest-neighbor category.</w:t>
      </w:r>
    </w:p>
    <w:p>
      <w:pPr>
        <w:pStyle w:val="Heading2"/>
      </w:pPr>
      <w:r>
        <w:rPr>
          <w:b/>
          <w:bCs/>
        </w:rPr>
        <w:t xml:space="preserve">Group C — Gift-Exchange &amp; Registry Platforms</w:t>
      </w:r>
    </w:p>
    <w:p>
      <w:pPr>
        <w:spacing w:after="120"/>
      </w:pPr>
      <w:r>
        <w:rPr>
          <w:rFonts w:ascii="Arial" w:cs="Arial" w:eastAsia="Arial" w:hAnsi="Arial"/>
          <w:sz w:val="22"/>
          <w:szCs w:val="22"/>
        </w:rPr>
        <w:t xml:space="preserve">Giftster (3M users), Elfster (40M+ users), Evite. Event- and wishlist-driven rather than reminder-driven. Strong at group coordination (Secret Santa, party RSVPs), weak at ongoing 1:1 birthday management. Adjacent, not overlapping.</w:t>
      </w:r>
    </w:p>
    <w:p>
      <w:pPr>
        <w:pStyle w:val="Heading2"/>
      </w:pPr>
      <w:r>
        <w:rPr>
          <w:b/>
          <w:bCs/>
        </w:rPr>
        <w:t xml:space="preserve">Group D — Physical Card/Gift Services</w:t>
      </w:r>
    </w:p>
    <w:p>
      <w:pPr>
        <w:spacing w:after="120"/>
      </w:pPr>
      <w:r>
        <w:rPr>
          <w:rFonts w:ascii="Arial" w:cs="Arial" w:eastAsia="Arial" w:hAnsi="Arial"/>
          <w:sz w:val="22"/>
          <w:szCs w:val="22"/>
        </w:rPr>
        <w:t xml:space="preserve">Postable (automated handwritten cards), Greetabl (customizable gift boxes). Beautiful, tactile, expensive. Per-unit cost ($5–$45) plus optional subscription. Complementary to a curation/reminder layer, not substitutes for one.</w:t>
      </w:r>
    </w:p>
    <w:p>
      <w:pPr>
        <w:pStyle w:val="Heading2"/>
      </w:pPr>
      <w:r>
        <w:rPr>
          <w:b/>
          <w:bCs/>
        </w:rPr>
        <w:t xml:space="preserve">Group E — AI Gift Concierges (fastest-moving threat)</w:t>
      </w:r>
    </w:p>
    <w:p>
      <w:pPr>
        <w:spacing w:after="120"/>
      </w:pPr>
      <w:r>
        <w:rPr>
          <w:rFonts w:ascii="Arial" w:cs="Arial" w:eastAsia="Arial" w:hAnsi="Arial"/>
          <w:sz w:val="22"/>
          <w:szCs w:val="22"/>
        </w:rPr>
        <w:t xml:space="preserve">Etsy Gift Mode (launched 2024), GiftList Genie, Giftruly. Strong at "what should I buy?" but none own the reminder loop. If Etsy or Amazon bolt reminders onto their gift-mode features, Landmarks’ moat narrows fast. This is the primary competitive threat to monitor.</w:t>
      </w:r>
    </w:p>
    <w:p>
      <w:r>
        <w:br w:type="page"/>
      </w:r>
    </w:p>
    <w:p>
      <w:pPr>
        <w:pStyle w:val="Heading1"/>
      </w:pPr>
      <w:r>
        <w:rPr>
          <w:b/>
          <w:bCs/>
        </w:rPr>
        <w:t xml:space="preserve">2. Key Competitor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2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76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Giftster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 members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Affiliate, bootstrapped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15-year slow build proves the affiliate model works at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Elfster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40M+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ads + affiliate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Owns group gifting; too large to compete head-on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Thankbox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$35K/mo rev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Per-transaction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founder + 5 contractors; proves small-team viability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GiftRocket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sales (2012)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Per-transaction, YC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Profitable quickly; transaction fees work for gifts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Kudoboard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boards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Raised from PeakSpan; proves investor interest in 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Funded ($32M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Per-transaction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Peer-to-peer gifting; well-funded but different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Brew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subs yr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Sponsored content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Referral-driven growth model; template for email products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TheSkimm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7M subs yr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Sponsored content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Ambassador program drove 30% growth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Etsy Gift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Etsy’s catalog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sales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AI curation; biggest threat if they add reminders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Modest downloads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(iOS)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reminder app; no disclosed revenue; iOS-only</w:t>
            </w:r>
          </w:p>
        </w:tc>
      </w:tr>
    </w:tbl>
    <w:p>
      <w:pPr>
        <w:spacing w:after="120"/>
      </w:pPr>
      <w:r>
        <w:rPr>
          <w:rFonts w:ascii="Arial" w:cs="Arial" w:eastAsia="Arial" w:hAnsi="Arial"/>
          <w:sz w:val="22"/>
          <w:szCs w:val="22"/>
        </w:rPr>
        <w:t xml:space="preserve"/>
      </w:r>
    </w:p>
    <w:p>
      <w:pPr>
        <w:pStyle w:val="Heading1"/>
      </w:pPr>
      <w:r>
        <w:rPr>
          <w:b/>
          <w:bCs/>
        </w:rPr>
        <w:t xml:space="preserve">3. Where Landmarks Wins and Loses</w:t>
      </w:r>
    </w:p>
    <w:p>
      <w:pPr>
        <w:pStyle w:val="Heading2"/>
      </w:pPr>
      <w:r>
        <w:rPr>
          <w:b/>
          <w:bCs/>
        </w:rPr>
        <w:t xml:space="preserve">Strengths (competitive advantages)</w:t>
      </w:r>
    </w:p>
    <w:p>
      <w:pPr>
        <w:spacing w:after="120"/>
      </w:pPr>
      <w:r>
        <w:rPr>
          <w:rFonts w:ascii="Arial" w:cs="Arial" w:eastAsia="Arial" w:hAnsi="Arial"/>
          <w:b/>
          <w:bCs/>
          <w:sz w:val="22"/>
          <w:szCs w:val="22"/>
        </w:rPr>
        <w:t xml:space="preserve">Price alignment: </w:t>
      </w:r>
      <w:r>
        <w:rPr>
          <w:rFonts w:ascii="Arial" w:cs="Arial" w:eastAsia="Arial" w:hAnsi="Arial"/>
          <w:sz w:val="22"/>
          <w:szCs w:val="22"/>
        </w:rPr>
        <w:t xml:space="preserve">The affiliate model is genuinely aligned — revenue only flows when the user gets real value. It sidesteps subscription fatigue and the "but Google Calendar is free" objection. No competitor in the reminder space offers this combination of free + curated gifts.</w:t>
      </w:r>
    </w:p>
    <w:p>
      <w:pPr>
        <w:spacing w:after="120"/>
      </w:pPr>
      <w:r>
        <w:rPr>
          <w:rFonts w:ascii="Arial" w:cs="Arial" w:eastAsia="Arial" w:hAnsi="Arial"/>
          <w:b/>
          <w:bCs/>
          <w:sz w:val="22"/>
          <w:szCs w:val="22"/>
        </w:rPr>
        <w:t xml:space="preserve">Privacy posture: </w:t>
      </w:r>
      <w:r>
        <w:rPr>
          <w:rFonts w:ascii="Arial" w:cs="Arial" w:eastAsia="Arial" w:hAnsi="Arial"/>
          <w:sz w:val="22"/>
          <w:szCs w:val="22"/>
        </w:rPr>
        <w:t xml:space="preserve">No analytics scripts, no tracking pixels in emails, no email addresses of contacts stored, hard delete on request, GDPR-native. This is best-in-class and matches the target audience (finance, law, consulting professionals who read DPAs). Currently under-marketed.</w:t>
      </w:r>
    </w:p>
    <w:p>
      <w:pPr>
        <w:spacing w:after="120"/>
      </w:pPr>
      <w:r>
        <w:rPr>
          <w:rFonts w:ascii="Arial" w:cs="Arial" w:eastAsia="Arial" w:hAnsi="Arial"/>
          <w:b/>
          <w:bCs/>
          <w:sz w:val="22"/>
          <w:szCs w:val="22"/>
        </w:rPr>
        <w:t xml:space="preserve">Contact and event depth: </w:t>
      </w:r>
      <w:r>
        <w:rPr>
          <w:rFonts w:ascii="Arial" w:cs="Arial" w:eastAsia="Arial" w:hAnsi="Arial"/>
          <w:sz w:val="22"/>
          <w:szCs w:val="22"/>
        </w:rPr>
        <w:t xml:space="preserve">Clean 4-table schema supporting custom events, sensitive-event suppression, notes field, relationship tags, and per-contact gift overrides. Comparable to dedicated apps like Cake and hip.</w:t>
      </w:r>
    </w:p>
    <w:p>
      <w:pPr>
        <w:spacing w:after="120"/>
      </w:pPr>
      <w:r>
        <w:rPr>
          <w:rFonts w:ascii="Arial" w:cs="Arial" w:eastAsia="Arial" w:hAnsi="Arial"/>
          <w:b/>
          <w:bCs/>
          <w:sz w:val="22"/>
          <w:szCs w:val="22"/>
        </w:rPr>
        <w:t xml:space="preserve">Data model design: </w:t>
      </w:r>
      <w:r>
        <w:rPr>
          <w:rFonts w:ascii="Arial" w:cs="Arial" w:eastAsia="Arial" w:hAnsi="Arial"/>
          <w:sz w:val="22"/>
          <w:szCs w:val="22"/>
        </w:rPr>
        <w:t xml:space="preserve">The Store API and schema map 1:1 to the production Supabase target, making migration mechanical. The architecture is sound even if the prototype surface needs polish.</w:t>
      </w:r>
    </w:p>
    <w:p>
      <w:pPr>
        <w:pStyle w:val="Heading2"/>
      </w:pPr>
      <w:r>
        <w:rPr>
          <w:b/>
          <w:bCs/>
        </w:rPr>
        <w:t xml:space="preserve">Weaknesses (gaps to close)</w:t>
      </w:r>
    </w:p>
    <w:p>
      <w:pPr>
        <w:spacing w:after="120"/>
      </w:pPr>
      <w:r>
        <w:rPr>
          <w:rFonts w:ascii="Arial" w:cs="Arial" w:eastAsia="Arial" w:hAnsi="Arial"/>
          <w:b/>
          <w:bCs/>
          <w:sz w:val="22"/>
          <w:szCs w:val="22"/>
        </w:rPr>
        <w:t xml:space="preserve">Gift curation quality (critical gap): </w:t>
      </w:r>
      <w:r>
        <w:rPr>
          <w:rFonts w:ascii="Arial" w:cs="Arial" w:eastAsia="Arial" w:hAnsi="Arial"/>
          <w:sz w:val="22"/>
          <w:szCs w:val="22"/>
        </w:rPr>
        <w:t xml:space="preserve">Today’s category-to-affiliate-URL lookup is not real curation. A user who has tried Etsy Gift Mode or GiftList Genie will see the difference instantly. This is the single most important feature gap. The planned scoring-based recommendation engine (structured catalog, keyword-tag parser, weighted scoring function) closes this gap without LLM cost, but it must ship before launch.</w:t>
      </w:r>
    </w:p>
    <w:p>
      <w:pPr>
        <w:spacing w:after="120"/>
      </w:pPr>
      <w:r>
        <w:rPr>
          <w:rFonts w:ascii="Arial" w:cs="Arial" w:eastAsia="Arial" w:hAnsi="Arial"/>
          <w:b/>
          <w:bCs/>
          <w:sz w:val="22"/>
          <w:szCs w:val="22"/>
        </w:rPr>
        <w:t xml:space="preserve">Setup friction: </w:t>
      </w:r>
      <w:r>
        <w:rPr>
          <w:rFonts w:ascii="Arial" w:cs="Arial" w:eastAsia="Arial" w:hAnsi="Arial"/>
          <w:sz w:val="22"/>
          <w:szCs w:val="22"/>
        </w:rPr>
        <w:t xml:space="preserve">5–10 minutes of manual contact entry versus zero setup for Google/Apple Calendar. One-click contact import (CSV, Google Contacts OAuth, vCard) is the fix and must be a pre-launch priority.</w:t>
      </w:r>
    </w:p>
    <w:p>
      <w:pPr>
        <w:spacing w:after="120"/>
      </w:pPr>
      <w:r>
        <w:rPr>
          <w:rFonts w:ascii="Arial" w:cs="Arial" w:eastAsia="Arial" w:hAnsi="Arial"/>
          <w:b/>
          <w:bCs/>
          <w:sz w:val="22"/>
          <w:szCs w:val="22"/>
        </w:rPr>
        <w:t xml:space="preserve">Reminder channel breadth: </w:t>
      </w:r>
      <w:r>
        <w:rPr>
          <w:rFonts w:ascii="Arial" w:cs="Arial" w:eastAsia="Arial" w:hAnsi="Arial"/>
          <w:sz w:val="22"/>
          <w:szCs w:val="22"/>
        </w:rPr>
        <w:t xml:space="preserve">Email only. A busy professional who declares inbox bankruptcy on a Saturday misses the reminder. Adding SMS for 3-day reminders and a read-only .ics calendar feed (already built) mitigates this.</w:t>
      </w:r>
    </w:p>
    <w:p>
      <w:pPr>
        <w:spacing w:after="120"/>
      </w:pPr>
      <w:r>
        <w:rPr>
          <w:rFonts w:ascii="Arial" w:cs="Arial" w:eastAsia="Arial" w:hAnsi="Arial"/>
          <w:b/>
          <w:bCs/>
          <w:sz w:val="22"/>
          <w:szCs w:val="22"/>
        </w:rPr>
        <w:t xml:space="preserve">Cross-platform: </w:t>
      </w:r>
      <w:r>
        <w:rPr>
          <w:rFonts w:ascii="Arial" w:cs="Arial" w:eastAsia="Arial" w:hAnsi="Arial"/>
          <w:sz w:val="22"/>
          <w:szCs w:val="22"/>
        </w:rPr>
        <w:t xml:space="preserve">Web + email only. No native app, no PWA optimization. Acceptable for launch given email-first positioning, but a responsive PWA would close most of the gap cheaply.</w:t>
      </w:r>
    </w:p>
    <w:p>
      <w:r>
        <w:br w:type="page"/>
      </w:r>
    </w:p>
    <w:p>
      <w:pPr>
        <w:pStyle w:val="Heading1"/>
      </w:pPr>
      <w:r>
        <w:rPr>
          <w:b/>
          <w:bCs/>
        </w:rPr>
        <w:t xml:space="preserve">4. Strategic Takeaways</w:t>
      </w:r>
    </w:p>
    <w:p>
      <w:pPr>
        <w:spacing w:after="120"/>
      </w:pPr>
      <w:r>
        <w:rPr>
          <w:rFonts w:ascii="Arial" w:cs="Arial" w:eastAsia="Arial" w:hAnsi="Arial"/>
          <w:sz w:val="22"/>
          <w:szCs w:val="22"/>
        </w:rPr>
        <w:t xml:space="preserve">The intersection of curated gift reminders, free to the user, email-first, and privacy-respecting is genuinely unoccupied. The free defaults (Google Calendar) do not curate gifts. The curation tools (Etsy Gift Mode, GiftList) do not remember dates. The reminder apps (Cake, hip, BirthdayAlarm) do not curate well and monetize through subscriptions the target audience is tired of paying.</w:t>
      </w:r>
    </w:p>
    <w:p>
      <w:pPr>
        <w:pStyle w:val="ListParagraph"/>
        <w:numPr>
          <w:ilvl w:val="0"/>
          <w:numId w:val="2"/>
        </w:numPr>
        <w:spacing w:after="100"/>
      </w:pPr>
      <w:r>
        <w:rPr>
          <w:rFonts w:ascii="Arial" w:cs="Arial" w:eastAsia="Arial" w:hAnsi="Arial"/>
          <w:b/>
          <w:bCs/>
          <w:sz w:val="22"/>
          <w:szCs w:val="22"/>
        </w:rPr>
        <w:t xml:space="preserve">Curation is the entire game. </w:t>
      </w:r>
      <w:r>
        <w:rPr>
          <w:rFonts w:ascii="Arial" w:cs="Arial" w:eastAsia="Arial" w:hAnsi="Arial"/>
          <w:sz w:val="22"/>
          <w:szCs w:val="22"/>
        </w:rPr>
        <w:t xml:space="preserve">If the scoring-based gift engine works, the business works. If curation stays at "category → affiliate URL," Landmarks competes with Google Calendar, and Google Calendar wins on distribution. The curation engine is the single biggest pre-launch investment.</w:t>
      </w:r>
    </w:p>
    <w:p>
      <w:pPr>
        <w:pStyle w:val="ListParagraph"/>
        <w:numPr>
          <w:ilvl w:val="0"/>
          <w:numId w:val="2"/>
        </w:numPr>
        <w:spacing w:after="100"/>
      </w:pPr>
      <w:r>
        <w:rPr>
          <w:rFonts w:ascii="Arial" w:cs="Arial" w:eastAsia="Arial" w:hAnsi="Arial"/>
          <w:b/>
          <w:bCs/>
          <w:sz w:val="22"/>
          <w:szCs w:val="22"/>
        </w:rPr>
        <w:t xml:space="preserve">Privacy is a conversion driver, not a checkbox. </w:t>
      </w:r>
      <w:r>
        <w:rPr>
          <w:rFonts w:ascii="Arial" w:cs="Arial" w:eastAsia="Arial" w:hAnsi="Arial"/>
          <w:sz w:val="22"/>
          <w:szCs w:val="22"/>
        </w:rPr>
        <w:t xml:space="preserve">For the finance/law/consulting target audience, an explicit "how we make money" explainer and a visible data export are trust signals that drive signups. This positioning is already substantively strong; it needs to be marketed aggressively.</w:t>
      </w:r>
    </w:p>
    <w:p>
      <w:pPr>
        <w:pStyle w:val="ListParagraph"/>
        <w:numPr>
          <w:ilvl w:val="0"/>
          <w:numId w:val="2"/>
        </w:numPr>
        <w:spacing w:after="100"/>
      </w:pPr>
      <w:r>
        <w:rPr>
          <w:rFonts w:ascii="Arial" w:cs="Arial" w:eastAsia="Arial" w:hAnsi="Arial"/>
          <w:b/>
          <w:bCs/>
          <w:sz w:val="22"/>
          <w:szCs w:val="22"/>
        </w:rPr>
        <w:t xml:space="preserve">Affiliate diversification is business continuity. </w:t>
      </w:r>
      <w:r>
        <w:rPr>
          <w:rFonts w:ascii="Arial" w:cs="Arial" w:eastAsia="Arial" w:hAnsi="Arial"/>
          <w:sz w:val="22"/>
          <w:szCs w:val="22"/>
        </w:rPr>
        <w:t xml:space="preserve">Amazon has cut commission rates three times since 2017. No single partner should exceed 30% of revenue. Launch with 6–8 partners across flowers, books, food/wine, experiences, eco/handmade, and physical cards.</w:t>
      </w:r>
    </w:p>
    <w:p>
      <w:pPr>
        <w:pStyle w:val="ListParagraph"/>
        <w:numPr>
          <w:ilvl w:val="0"/>
          <w:numId w:val="2"/>
        </w:numPr>
        <w:spacing w:after="100"/>
      </w:pPr>
      <w:r>
        <w:rPr>
          <w:rFonts w:ascii="Arial" w:cs="Arial" w:eastAsia="Arial" w:hAnsi="Arial"/>
          <w:b/>
          <w:bCs/>
          <w:sz w:val="22"/>
          <w:szCs w:val="22"/>
        </w:rPr>
        <w:t xml:space="preserve">The moat is thin but real. </w:t>
      </w:r>
      <w:r>
        <w:rPr>
          <w:rFonts w:ascii="Arial" w:cs="Arial" w:eastAsia="Arial" w:hAnsi="Arial"/>
          <w:sz w:val="22"/>
          <w:szCs w:val="22"/>
        </w:rPr>
        <w:t xml:space="preserve">Etsy or Amazon could ship "reminder + gift mode" in a quarter. Landmarks’ path to durability is (a) building curation good enough that users prefer it to the catalogs’ own AI, and (b) earning the trust of an audience that values privacy and reliability over novelty.</w:t>
      </w:r>
    </w:p>
    <w:p>
      <w:pPr>
        <w:pStyle w:val="ListParagraph"/>
        <w:numPr>
          <w:ilvl w:val="0"/>
          <w:numId w:val="2"/>
        </w:numPr>
        <w:spacing w:after="100"/>
      </w:pPr>
      <w:r>
        <w:rPr>
          <w:rFonts w:ascii="Arial" w:cs="Arial" w:eastAsia="Arial" w:hAnsi="Arial"/>
          <w:b/>
          <w:bCs/>
          <w:sz w:val="22"/>
          <w:szCs w:val="22"/>
        </w:rPr>
        <w:t xml:space="preserve">Referral-driven growth is the right model. </w:t>
      </w:r>
      <w:r>
        <w:rPr>
          <w:rFonts w:ascii="Arial" w:cs="Arial" w:eastAsia="Arial" w:hAnsi="Arial"/>
          <w:sz w:val="22"/>
          <w:szCs w:val="22"/>
        </w:rPr>
        <w:t xml:space="preserve">Morning Brew and TheSkimm both proved that email products grow best through referral programs (30% of growth). At ~$10 commission per order, paid acquisition LTV is too thin. Invest in viral loops (shared gift ideas, referral rewards) instead of paid ads.</w:t>
      </w:r>
    </w:p>
    <w:p>
      <w:pPr>
        <w:pStyle w:val="ListParagraph"/>
        <w:numPr>
          <w:ilvl w:val="0"/>
          <w:numId w:val="2"/>
        </w:numPr>
        <w:spacing w:after="100"/>
      </w:pPr>
      <w:r>
        <w:rPr>
          <w:rFonts w:ascii="Arial" w:cs="Arial" w:eastAsia="Arial" w:hAnsi="Arial"/>
          <w:b/>
          <w:bCs/>
          <w:sz w:val="22"/>
          <w:szCs w:val="22"/>
        </w:rPr>
        <w:t xml:space="preserve">Sponsored placements unlock real ARPU. </w:t>
      </w:r>
      <w:r>
        <w:rPr>
          <w:rFonts w:ascii="Arial" w:cs="Arial" w:eastAsia="Arial" w:hAnsi="Arial"/>
          <w:sz w:val="22"/>
          <w:szCs w:val="22"/>
        </w:rPr>
        <w:t xml:space="preserve">Affiliate-only ARPU is $1.50–$2.50/year. Adding a single sponsored gift placement (featured brand, hero slot in email, CPM-priced) raises ARPU to $5–$8/year. This layer becomes viable at 3K–5K active users with proven open/CTR rates. Plan for it but do not build it before affiliate is working.</w:t>
      </w:r>
    </w:p>
    <w:p>
      <w:pPr>
        <w:pStyle w:val="Heading1"/>
      </w:pPr>
      <w:r>
        <w:rPr>
          <w:b/>
          <w:bCs/>
        </w:rPr>
        <w:t xml:space="preserve">5. What Not to Do (Yet)</w:t>
      </w:r>
    </w:p>
    <w:p>
      <w:pPr>
        <w:pStyle w:val="ListParagraph"/>
        <w:numPr>
          <w:ilvl w:val="0"/>
          <w:numId w:val="3"/>
        </w:numPr>
        <w:spacing w:after="80"/>
      </w:pPr>
      <w:r>
        <w:rPr>
          <w:rFonts w:ascii="Arial" w:cs="Arial" w:eastAsia="Arial" w:hAnsi="Arial"/>
          <w:sz w:val="22"/>
          <w:szCs w:val="22"/>
        </w:rPr>
        <w:t xml:space="preserve">Do not build a native mobile app. Email lands on mobile already. A responsive PWA is sufficient.</w:t>
      </w:r>
    </w:p>
    <w:p>
      <w:pPr>
        <w:pStyle w:val="ListParagraph"/>
        <w:numPr>
          <w:ilvl w:val="0"/>
          <w:numId w:val="3"/>
        </w:numPr>
        <w:spacing w:after="80"/>
      </w:pPr>
      <w:r>
        <w:rPr>
          <w:rFonts w:ascii="Arial" w:cs="Arial" w:eastAsia="Arial" w:hAnsi="Arial"/>
          <w:sz w:val="22"/>
          <w:szCs w:val="22"/>
        </w:rPr>
        <w:t xml:space="preserve">Do not add a subscription tier. Being the non-subscription option is one of the clearest positioning advantages.</w:t>
      </w:r>
    </w:p>
    <w:p>
      <w:pPr>
        <w:pStyle w:val="ListParagraph"/>
        <w:numPr>
          <w:ilvl w:val="0"/>
          <w:numId w:val="3"/>
        </w:numPr>
        <w:spacing w:after="80"/>
      </w:pPr>
      <w:r>
        <w:rPr>
          <w:rFonts w:ascii="Arial" w:cs="Arial" w:eastAsia="Arial" w:hAnsi="Arial"/>
          <w:sz w:val="22"/>
          <w:szCs w:val="22"/>
        </w:rPr>
        <w:t xml:space="preserve">Do not pursue AI-autonomous gifting ("we’ll just send something"). Asymmetric reputational risk; margin does not support the support burden.</w:t>
      </w:r>
    </w:p>
    <w:p>
      <w:pPr>
        <w:pStyle w:val="ListParagraph"/>
        <w:numPr>
          <w:ilvl w:val="0"/>
          <w:numId w:val="3"/>
        </w:numPr>
        <w:spacing w:after="80"/>
      </w:pPr>
      <w:r>
        <w:rPr>
          <w:rFonts w:ascii="Arial" w:cs="Arial" w:eastAsia="Arial" w:hAnsi="Arial"/>
          <w:sz w:val="22"/>
          <w:szCs w:val="22"/>
        </w:rPr>
        <w:t xml:space="preserve">Do not invest in paid acquisition until organic funnel conversion is proven. LTV at 10% conversion and ~$10 commission is too thin to buy users profitably.</w:t>
      </w:r>
    </w:p>
    <w:p>
      <w:pPr>
        <w:pStyle w:val="ListParagraph"/>
        <w:numPr>
          <w:ilvl w:val="0"/>
          <w:numId w:val="3"/>
        </w:numPr>
        <w:spacing w:after="80"/>
      </w:pPr>
      <w:r>
        <w:rPr>
          <w:rFonts w:ascii="Arial" w:cs="Arial" w:eastAsia="Arial" w:hAnsi="Arial"/>
          <w:sz w:val="22"/>
          <w:szCs w:val="22"/>
        </w:rPr>
        <w:t xml:space="preserve">Do not build a full group-gifting product. Elfster owns that category with 40M users. A lightweight "share this gift idea" link inside Landmarks is the right-sized feature.</w:t>
      </w:r>
    </w:p>
    <w:p>
      <w:pPr>
        <w:pStyle w:val="ListParagraph"/>
        <w:numPr>
          <w:ilvl w:val="0"/>
          <w:numId w:val="3"/>
        </w:numPr>
        <w:spacing w:after="80"/>
      </w:pPr>
      <w:r>
        <w:rPr>
          <w:rFonts w:ascii="Arial" w:cs="Arial" w:eastAsia="Arial" w:hAnsi="Arial"/>
          <w:sz w:val="22"/>
          <w:szCs w:val="22"/>
        </w:rPr>
        <w:t xml:space="preserve">Do not pursue corporate/team/HR gifting. Different sales cycle, contracts, and support expectations. Revisit only if inbound demand is undeniable.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Landmarks — Competitive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05A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2026-04-18T20:28:30.609Z</dcterms:created>
  <dcterms:modified xsi:type="dcterms:W3CDTF">2026-04-18T20:28:30.612Z</dcterms:modified>
</cp:coreProperties>
</file>

<file path=docProps/custom.xml><?xml version="1.0" encoding="utf-8"?>
<Properties xmlns="http://schemas.openxmlformats.org/officeDocument/2006/custom-properties" xmlns:vt="http://schemas.openxmlformats.org/officeDocument/2006/docPropsVTypes"/>
</file>