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9, 2026 · Applies to PDF Forensics Suite v1.0.0, build 2026-10-09</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spacing w:after="80" w:before="80"/>
      </w:pPr>
      <w:r>
        <w:rPr>
          <w:rFonts w:ascii="Arial" w:cs="Arial" w:eastAsia="Arial" w:hAnsi="Arial"/>
          <w:color w:val="000000"/>
          <w:sz w:val="22"/>
          <w:szCs w:val="22"/>
        </w:rPr>
        <w:t xml:space="preserve">The graphs are also listed in the case index (the file named after your case and ending in _index.html, in the main results folder), under Visual &amp; Graphs. The index is updated automatically each time graphs are generated, so it is the easiest place to find and open them.</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