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15, 2026 · Applies to PDF Forensics Suite v1.0.0, build 2026-10-15</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twenty-one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document that uses PDF features requiring a newer version than it declares. The declared version (header, Catalog /Version, XMP) is trivially editable; the structural features present set a hard minimum version and, via each feature’s publication year, an earliest-possible date. The Detail column gives the declared versions, the effective minimum, the feature(s) forcing it with their reliability, any temporal contradiction with the claimed creation date, and the benign-cause caveat. The scoring and feature table are specified in the Technical Reference Guide, section 4.4. Columns: Filename (sticky), Severity, Detail, PDF MD5. The underlying query selects findings of type VERSION_ANACHRONISM joined to their analysis.</w:t>
      </w:r>
    </w:p>
    <w:p>
      <w:pPr>
        <w:spacing w:after="80" w:before="80"/>
      </w:pPr>
      <w:r>
        <w:rPr>
          <w:rFonts w:ascii="Arial" w:cs="Arial" w:eastAsia="Arial" w:hAnsi="Arial"/>
          <w:color w:val="000000"/>
          <w:sz w:val="22"/>
          <w:szCs w:val="22"/>
        </w:rPr>
        <w:t xml:space="preserve">Technical note: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