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1.2</w:t>
      </w:r>
    </w:p>
    <w:p>
      <w:pPr>
        <w:spacing w:after="40" w:before="0"/>
        <w:jc w:val="center"/>
      </w:pPr>
      <w:r>
        <w:rPr>
          <w:rFonts w:ascii="Arial" w:cs="Arial" w:eastAsia="Arial" w:hAnsi="Arial"/>
          <w:color w:val="595959"/>
          <w:sz w:val="22"/>
          <w:szCs w:val="22"/>
        </w:rPr>
        <w:t xml:space="preserve">October 15, 2026 · Applies to PDF Forensics Suite v1.0.0, build 2026-10-15</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private during the beta review period and will be made public on official release.</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Encrypted PDFs</w:t>
            </w:r>
          </w:hyperlink>
        </w:p>
        <w:p>
          <w:pPr>
            <w:spacing w:before="0" w:after="80"/>
            <w:ind w:left="360"/>
          </w:pPr>
          <w:hyperlink w:anchor="s10_1">
            <w:r>
              <w:rPr>
                <w:rFonts w:ascii="Arial" w:hAnsi="Arial"/>
                <w:color w:val="2E5395"/>
                <w:sz w:val="20"/>
                <w:noProof/>
              </w:rPr>
              <w:t xml:space="preserve">10.1 Encryption and the Empty Password</w:t>
            </w:r>
          </w:hyperlink>
        </w:p>
        <w:p>
          <w:pPr>
            <w:spacing w:before="0" w:after="80"/>
            <w:ind w:left="360"/>
          </w:pPr>
          <w:hyperlink w:anchor="s10_2">
            <w:r>
              <w:rPr>
                <w:rFonts w:ascii="Arial" w:hAnsi="Arial"/>
                <w:color w:val="2E5395"/>
                <w:sz w:val="20"/>
                <w:noProof/>
              </w:rPr>
              <w:t xml:space="preserve">10.2 Order of Attempts</w:t>
            </w:r>
          </w:hyperlink>
        </w:p>
        <w:p>
          <w:pPr>
            <w:spacing w:before="0" w:after="80"/>
            <w:ind w:left="360"/>
          </w:pPr>
          <w:hyperlink w:anchor="s10_3">
            <w:r>
              <w:rPr>
                <w:rFonts w:ascii="Arial" w:hAnsi="Arial"/>
                <w:color w:val="2E5395"/>
                <w:sz w:val="20"/>
                <w:noProof/>
              </w:rPr>
              <w:t xml:space="preserve">10.3 Outcomes and the Record</w:t>
            </w:r>
          </w:hyperlink>
        </w:p>
        <w:p>
          <w:pPr>
            <w:spacing w:before="0" w:after="80"/>
            <w:ind w:left="360"/>
          </w:pPr>
          <w:hyperlink w:anchor="s10_4">
            <w:r>
              <w:rPr>
                <w:rFonts w:ascii="Arial" w:hAnsi="Arial"/>
                <w:color w:val="2E5395"/>
                <w:sz w:val="20"/>
                <w:noProof/>
              </w:rPr>
              <w:t xml:space="preserve">10.4 Workflow</w:t>
            </w:r>
          </w:hyperlink>
        </w:p>
        <w:p>
          <w:pPr>
            <w:spacing w:before="0" w:after="120"/>
          </w:pPr>
          <w:hyperlink w:anchor="s11">
            <w:r>
              <w:rPr>
                <w:rFonts w:ascii="Arial" w:hAnsi="Arial"/>
                <w:b/>
                <w:color w:val="1F3864"/>
                <w:sz w:val="22"/>
                <w:noProof/>
              </w:rPr>
              <w:t xml:space="preserve">11. Risk Scoring Model</w:t>
            </w:r>
          </w:hyperlink>
        </w:p>
        <w:p>
          <w:pPr>
            <w:spacing w:before="0" w:after="80"/>
            <w:ind w:left="360"/>
          </w:pPr>
          <w:hyperlink w:anchor="s11_1">
            <w:r>
              <w:rPr>
                <w:rFonts w:ascii="Arial" w:hAnsi="Arial"/>
                <w:color w:val="2E5395"/>
                <w:sz w:val="20"/>
                <w:noProof/>
              </w:rPr>
              <w:t xml:space="preserve">11.1 Scoring Weights</w:t>
            </w:r>
          </w:hyperlink>
        </w:p>
        <w:p>
          <w:pPr>
            <w:spacing w:before="0" w:after="80"/>
            <w:ind w:left="360"/>
          </w:pPr>
          <w:hyperlink w:anchor="s11_2">
            <w:r>
              <w:rPr>
                <w:rFonts w:ascii="Arial" w:hAnsi="Arial"/>
                <w:color w:val="2E5395"/>
                <w:sz w:val="20"/>
                <w:noProof/>
              </w:rPr>
              <w:t xml:space="preserve">11.2 Score Interpretation</w:t>
            </w:r>
          </w:hyperlink>
        </w:p>
        <w:p>
          <w:pPr>
            <w:spacing w:before="0" w:after="120"/>
          </w:pPr>
          <w:hyperlink w:anchor="s12">
            <w:r>
              <w:rPr>
                <w:rFonts w:ascii="Arial" w:hAnsi="Arial"/>
                <w:b/>
                <w:color w:val="1F3864"/>
                <w:sz w:val="22"/>
                <w:noProof/>
              </w:rPr>
              <w:t xml:space="preserve">12. Known False Positive Catalogue</w:t>
            </w:r>
          </w:hyperlink>
        </w:p>
        <w:p>
          <w:pPr>
            <w:spacing w:before="0" w:after="120"/>
          </w:pPr>
          <w:hyperlink w:anchor="s13">
            <w:r>
              <w:rPr>
                <w:rFonts w:ascii="Arial" w:hAnsi="Arial"/>
                <w:b/>
                <w:color w:val="1F3864"/>
                <w:sz w:val="22"/>
                <w:noProof/>
              </w:rPr>
              <w:t xml:space="preserve">13. Counter-Verification Procedures</w:t>
            </w:r>
          </w:hyperlink>
        </w:p>
        <w:p>
          <w:pPr>
            <w:spacing w:before="0" w:after="80"/>
            <w:ind w:left="360"/>
          </w:pPr>
          <w:hyperlink w:anchor="s13_1">
            <w:r>
              <w:rPr>
                <w:rFonts w:ascii="Arial" w:hAnsi="Arial"/>
                <w:color w:val="2E5395"/>
                <w:sz w:val="20"/>
                <w:noProof/>
              </w:rPr>
              <w:t xml:space="preserve">13.1 Tool Reference</w:t>
            </w:r>
          </w:hyperlink>
        </w:p>
        <w:p>
          <w:pPr>
            <w:spacing w:before="0" w:after="80"/>
            <w:ind w:left="360"/>
          </w:pPr>
          <w:hyperlink w:anchor="s13_2">
            <w:r>
              <w:rPr>
                <w:rFonts w:ascii="Arial" w:hAnsi="Arial"/>
                <w:color w:val="2E5395"/>
                <w:sz w:val="20"/>
                <w:noProof/>
              </w:rPr>
              <w:t xml:space="preserve">13.2 Verifying BBOX_CROP (qpdf)</w:t>
            </w:r>
          </w:hyperlink>
        </w:p>
        <w:p>
          <w:pPr>
            <w:spacing w:before="0" w:after="80"/>
            <w:ind w:left="360"/>
          </w:pPr>
          <w:hyperlink w:anchor="s13_3">
            <w:r>
              <w:rPr>
                <w:rFonts w:ascii="Arial" w:hAnsi="Arial"/>
                <w:color w:val="2E5395"/>
                <w:sz w:val="20"/>
                <w:noProof/>
              </w:rPr>
              <w:t xml:space="preserve">13.3 Verifying TEXT_OVERLAY Annotation (peepdf3)</w:t>
            </w:r>
          </w:hyperlink>
        </w:p>
        <w:p>
          <w:pPr>
            <w:spacing w:before="0" w:after="80"/>
            <w:ind w:left="360"/>
          </w:pPr>
          <w:hyperlink w:anchor="s13_4">
            <w:r>
              <w:rPr>
                <w:rFonts w:ascii="Arial" w:hAnsi="Arial"/>
                <w:color w:val="2E5395"/>
                <w:sz w:val="20"/>
                <w:noProof/>
              </w:rPr>
              <w:t xml:space="preserve">13.4 Verifying Content-Stream Text Overlay (mutool)</w:t>
            </w:r>
          </w:hyperlink>
        </w:p>
        <w:p>
          <w:pPr>
            <w:spacing w:before="0" w:after="80"/>
            <w:ind w:left="360"/>
          </w:pPr>
          <w:hyperlink w:anchor="s13_5">
            <w:r>
              <w:rPr>
                <w:rFonts w:ascii="Arial" w:hAnsi="Arial"/>
                <w:color w:val="2E5395"/>
                <w:sz w:val="20"/>
                <w:noProof/>
              </w:rPr>
              <w:t xml:space="preserve">13.5 Extracting Hidden Images (mutool)</w:t>
            </w:r>
          </w:hyperlink>
        </w:p>
        <w:p>
          <w:pPr>
            <w:spacing w:before="0" w:after="80"/>
            <w:ind w:left="360"/>
          </w:pPr>
          <w:hyperlink w:anchor="s13_6">
            <w:r>
              <w:rPr>
                <w:rFonts w:ascii="Arial" w:hAnsi="Arial"/>
                <w:color w:val="2E5395"/>
                <w:sz w:val="20"/>
                <w:noProof/>
              </w:rPr>
              <w:t xml:space="preserve">13.6 Verifying Incremental Updates (hex editor)</w:t>
            </w:r>
          </w:hyperlink>
        </w:p>
        <w:p>
          <w:pPr>
            <w:spacing w:before="0" w:after="120"/>
          </w:pPr>
          <w:hyperlink w:anchor="s14">
            <w:r>
              <w:rPr>
                <w:rFonts w:ascii="Arial" w:hAnsi="Arial"/>
                <w:b/>
                <w:color w:val="1F3864"/>
                <w:sz w:val="22"/>
                <w:noProof/>
              </w:rPr>
              <w:t xml:space="preserve">14. Chain of Custody and Evidential Admissibility</w:t>
            </w:r>
          </w:hyperlink>
        </w:p>
        <w:p>
          <w:pPr>
            <w:spacing w:before="0" w:after="80"/>
            <w:ind w:left="360"/>
          </w:pPr>
          <w:hyperlink w:anchor="s14_1">
            <w:r>
              <w:rPr>
                <w:rFonts w:ascii="Arial" w:hAnsi="Arial"/>
                <w:color w:val="2E5395"/>
                <w:sz w:val="20"/>
                <w:noProof/>
              </w:rPr>
              <w:t xml:space="preserve">14.1 What the Application Records Automatically</w:t>
            </w:r>
          </w:hyperlink>
        </w:p>
        <w:p>
          <w:pPr>
            <w:spacing w:before="0" w:after="80"/>
            <w:ind w:left="360"/>
          </w:pPr>
          <w:hyperlink w:anchor="s14_2">
            <w:r>
              <w:rPr>
                <w:rFonts w:ascii="Arial" w:hAnsi="Arial"/>
                <w:color w:val="2E5395"/>
                <w:sz w:val="20"/>
                <w:noProof/>
              </w:rPr>
              <w:t xml:space="preserve">14.2 Examiner Responsibilities</w:t>
            </w:r>
          </w:hyperlink>
        </w:p>
        <w:p>
          <w:pPr>
            <w:spacing w:before="0" w:after="80"/>
            <w:ind w:left="360"/>
          </w:pPr>
          <w:hyperlink w:anchor="s14_3">
            <w:r>
              <w:rPr>
                <w:rFonts w:ascii="Arial" w:hAnsi="Arial"/>
                <w:color w:val="2E5395"/>
                <w:sz w:val="20"/>
                <w:noProof/>
              </w:rPr>
              <w:t xml:space="preserve">14.3 Report Admissibility Considerations</w:t>
            </w:r>
          </w:hyperlink>
        </w:p>
        <w:p>
          <w:pPr>
            <w:spacing w:before="0" w:after="120"/>
          </w:pPr>
          <w:hyperlink w:anchor="s15">
            <w:r>
              <w:rPr>
                <w:rFonts w:ascii="Arial" w:hAnsi="Arial"/>
                <w:b/>
                <w:color w:val="1F3864"/>
                <w:sz w:val="22"/>
                <w:noProof/>
              </w:rPr>
              <w:t xml:space="preserve">15. Limitations and Scope Boundaries</w:t>
            </w:r>
          </w:hyperlink>
        </w:p>
        <w:p>
          <w:pPr>
            <w:spacing w:before="0" w:after="80"/>
            <w:ind w:left="360"/>
          </w:pPr>
          <w:hyperlink w:anchor="s15_1">
            <w:r>
              <w:rPr>
                <w:rFonts w:ascii="Arial" w:hAnsi="Arial"/>
                <w:color w:val="2E5395"/>
                <w:sz w:val="20"/>
                <w:noProof/>
              </w:rPr>
              <w:t xml:space="preserve">15.1 What the Application Does Not Detect</w:t>
            </w:r>
          </w:hyperlink>
        </w:p>
        <w:p>
          <w:pPr>
            <w:spacing w:before="0" w:after="80"/>
            <w:ind w:left="360"/>
          </w:pPr>
          <w:hyperlink w:anchor="s15_2">
            <w:r>
              <w:rPr>
                <w:rFonts w:ascii="Arial" w:hAnsi="Arial"/>
                <w:color w:val="2E5395"/>
                <w:sz w:val="20"/>
                <w:noProof/>
              </w:rPr>
              <w:t xml:space="preserve">15.2 Known Library Constraints</w:t>
            </w:r>
          </w:hyperlink>
        </w:p>
        <w:p>
          <w:pPr>
            <w:spacing w:before="0" w:after="120"/>
          </w:pPr>
          <w:hyperlink w:anchor="s16">
            <w:r>
              <w:rPr>
                <w:rFonts w:ascii="Arial" w:hAnsi="Arial"/>
                <w:b/>
                <w:color w:val="1F3864"/>
                <w:sz w:val="22"/>
                <w:noProof/>
              </w:rPr>
              <w:t xml:space="preserve">16. Investigator Quick-Start Decision Tree</w:t>
            </w:r>
          </w:hyperlink>
        </w:p>
        <w:p>
          <w:pPr>
            <w:spacing w:before="0" w:after="80"/>
            <w:ind w:left="360"/>
          </w:pPr>
          <w:hyperlink w:anchor="s16_1">
            <w:r>
              <w:rPr>
                <w:rFonts w:ascii="Arial" w:hAnsi="Arial"/>
                <w:color w:val="2E5395"/>
                <w:sz w:val="20"/>
                <w:noProof/>
              </w:rPr>
              <w:t xml:space="preserve">16.1 Pre-Analysis: Hash and Record Source Files</w:t>
            </w:r>
          </w:hyperlink>
        </w:p>
        <w:p>
          <w:pPr>
            <w:spacing w:before="0" w:after="80"/>
            <w:ind w:left="360"/>
          </w:pPr>
          <w:hyperlink w:anchor="s16_2">
            <w:r>
              <w:rPr>
                <w:rFonts w:ascii="Arial" w:hAnsi="Arial"/>
                <w:color w:val="2E5395"/>
                <w:sz w:val="20"/>
                <w:noProof/>
              </w:rPr>
              <w:t xml:space="preserve">16.2 Run Analysis with Default Options</w:t>
            </w:r>
          </w:hyperlink>
        </w:p>
        <w:p>
          <w:pPr>
            <w:spacing w:before="0" w:after="80"/>
            <w:ind w:left="360"/>
          </w:pPr>
          <w:hyperlink w:anchor="s16_3">
            <w:r>
              <w:rPr>
                <w:rFonts w:ascii="Arial" w:hAnsi="Arial"/>
                <w:color w:val="2E5395"/>
                <w:sz w:val="20"/>
                <w:noProof/>
              </w:rPr>
              <w:t xml:space="preserve">16.3 Triage: Check for High-Risk Findings</w:t>
            </w:r>
          </w:hyperlink>
        </w:p>
        <w:p>
          <w:pPr>
            <w:spacing w:before="0" w:after="80"/>
            <w:ind w:left="360"/>
          </w:pPr>
          <w:hyperlink w:anchor="s16_4">
            <w:r>
              <w:rPr>
                <w:rFonts w:ascii="Arial" w:hAnsi="Arial"/>
                <w:color w:val="2E5395"/>
                <w:sz w:val="20"/>
                <w:noProof/>
              </w:rPr>
              <w:t xml:space="preserve">16.4 Metadata Review</w:t>
            </w:r>
          </w:hyperlink>
        </w:p>
        <w:p>
          <w:pPr>
            <w:spacing w:before="0" w:after="80"/>
            <w:ind w:left="360"/>
          </w:pPr>
          <w:hyperlink w:anchor="s16_5">
            <w:r>
              <w:rPr>
                <w:rFonts w:ascii="Arial" w:hAnsi="Arial"/>
                <w:color w:val="2E5395"/>
                <w:sz w:val="20"/>
                <w:noProof/>
              </w:rPr>
              <w:t xml:space="preserve">16.5 Image Manipulation Review</w:t>
            </w:r>
          </w:hyperlink>
        </w:p>
        <w:p>
          <w:pPr>
            <w:spacing w:before="0" w:after="80"/>
            <w:ind w:left="360"/>
          </w:pPr>
          <w:hyperlink w:anchor="s16_6">
            <w:r>
              <w:rPr>
                <w:rFonts w:ascii="Arial" w:hAnsi="Arial"/>
                <w:color w:val="2E5395"/>
                <w:sz w:val="20"/>
                <w:noProof/>
              </w:rPr>
              <w:t xml:space="preserve">16.6 Text Overlay Review</w:t>
            </w:r>
          </w:hyperlink>
        </w:p>
        <w:p>
          <w:pPr>
            <w:spacing w:before="0" w:after="80"/>
            <w:ind w:left="360"/>
          </w:pPr>
          <w:hyperlink w:anchor="s16_7">
            <w:r>
              <w:rPr>
                <w:rFonts w:ascii="Arial" w:hAnsi="Arial"/>
                <w:color w:val="2E5395"/>
                <w:sz w:val="20"/>
                <w:noProof/>
              </w:rPr>
              <w:t xml:space="preserve">16.7 Cross-Document Analysis</w:t>
            </w:r>
          </w:hyperlink>
        </w:p>
        <w:p>
          <w:pPr>
            <w:spacing w:before="0" w:after="80"/>
            <w:ind w:left="360"/>
          </w:pPr>
          <w:hyperlink w:anchor="s16_8">
            <w:r>
              <w:rPr>
                <w:rFonts w:ascii="Arial" w:hAnsi="Arial"/>
                <w:color w:val="2E5395"/>
                <w:sz w:val="20"/>
                <w:noProof/>
              </w:rPr>
              <w:t xml:space="preserve">16.8 EXIF and Comments Review</w:t>
            </w:r>
          </w:hyperlink>
        </w:p>
        <w:p>
          <w:pPr>
            <w:spacing w:before="0" w:after="80"/>
            <w:ind w:left="360"/>
          </w:pPr>
          <w:hyperlink w:anchor="s16_9">
            <w:r>
              <w:rPr>
                <w:rFonts w:ascii="Arial" w:hAnsi="Arial"/>
                <w:color w:val="2E5395"/>
                <w:sz w:val="20"/>
                <w:noProof/>
              </w:rPr>
              <w:t xml:space="preserve">16.9 Document Findings</w:t>
            </w:r>
          </w:hyperlink>
        </w:p>
        <w:p>
          <w:pPr>
            <w:spacing w:before="0" w:after="120"/>
          </w:pPr>
          <w:hyperlink w:anchor="s17">
            <w:r>
              <w:rPr>
                <w:rFonts w:ascii="Arial" w:hAnsi="Arial"/>
                <w:b/>
                <w:color w:val="1F3864"/>
                <w:sz w:val="22"/>
                <w:noProof/>
              </w:rPr>
              <w:t xml:space="preserve">17. SQLite Query Reference</w:t>
            </w:r>
          </w:hyperlink>
        </w:p>
        <w:p>
          <w:pPr>
            <w:spacing w:before="0" w:after="80"/>
            <w:ind w:left="360"/>
          </w:pPr>
          <w:hyperlink w:anchor="s17_1">
            <w:r>
              <w:rPr>
                <w:rFonts w:ascii="Arial" w:hAnsi="Arial"/>
                <w:color w:val="2E5395"/>
                <w:sz w:val="20"/>
                <w:noProof/>
              </w:rPr>
              <w:t xml:space="preserve">17.1 Schema Overview</w:t>
            </w:r>
          </w:hyperlink>
        </w:p>
        <w:p>
          <w:pPr>
            <w:spacing w:before="0" w:after="80"/>
            <w:ind w:left="360"/>
          </w:pPr>
          <w:hyperlink w:anchor="s17_2">
            <w:r>
              <w:rPr>
                <w:rFonts w:ascii="Arial" w:hAnsi="Arial"/>
                <w:color w:val="2E5395"/>
                <w:sz w:val="20"/>
                <w:noProof/>
              </w:rPr>
              <w:t xml:space="preserve">17.2 Queries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8), writes, automatic migration, and the submitted-files record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Twenty-one report definitions (SQL, or Python for pivoted and grouped reports) and the report relationships used by the case index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Overlay removal for the visual report: annotations by object reference, inline white boxes with their painted text, stream-aware text-over-text removal, and white-box component decomposition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Opening encrypted PDFs with a supplied password list (empty password, then known-good, then the list); never modifies a file</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reports/visual.py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Overlay Report: per-overlay layers, the as-received self-check, and the interactive page view</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reports/case_index.py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Case index at the root of the case folder: outputs grouped by source database, build warnings, output manifest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reports/risk_overview.py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Overview spreadsheet (one row per document, sortable by risk)</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VERSION_MISMATCH, VERSION_ANACHRONISM,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is declared in the file header (%PDF-N.M) and may also be overridden by the /Version entry in the Document Catalog. The application records both and emits a VERSION_MISMATCH finding (INFO) when they differ.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max(header, Catalog /Version, XMP pdf:PDFVersion).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/Stamp),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80"/>
      </w:pPr>
      <w:r>
        <w:rPr>
          <w:rFonts w:ascii="Arial" w:cs="Arial" w:eastAsia="Arial" w:hAnsi="Arial"/>
          <w:b/>
          <w:bCs/>
          <w:color w:val="000000"/>
          <w:sz w:val="22"/>
          <w:szCs w:val="22"/>
        </w:rPr>
        <w:t xml:space="preserve">Stacking rule. </w:t>
      </w:r>
      <w:r>
        <w:rPr>
          <w:rFonts w:ascii="Arial" w:cs="Arial" w:eastAsia="Arial" w:hAnsi="Arial"/>
          <w:color w:val="000000"/>
          <w:sz w:val="22"/>
          <w:szCs w:val="22"/>
        </w:rPr>
        <w:t xml:space="preserve">Stacked annotations (since build 2026-10-08): an overlay annotation is also flagged, whatever its own background, when it overlaps another overlay annotation by at least 4 square points and at least one of the pair is opaque. This is the box-and-replace pattern: an opaque box hides the original value and a transparent FreeText annotation on top supplies the new one. Without this rule the transparent replacement-text annotation failed the opacity check and was not reported, so removing the box alone did not reveal the original. The covering box and the replacement annotation are separate objects and are reported as separate findings; the replacement’s /Contents (the new value) appears in its detail.</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80"/>
      </w:pPr>
      <w:r>
        <w:rPr>
          <w:rFonts w:ascii="Arial" w:cs="Arial" w:eastAsia="Arial" w:hAnsi="Arial"/>
          <w:b/>
          <w:bCs/>
          <w:color w:val="000000"/>
          <w:sz w:val="22"/>
          <w:szCs w:val="22"/>
        </w:rPr>
        <w:t xml:space="preserve">Consolidation (since build 2026-10-08). </w:t>
      </w:r>
      <w:r>
        <w:rPr>
          <w:rFonts w:ascii="Arial" w:cs="Arial" w:eastAsia="Arial" w:hAnsi="Arial"/>
          <w:color w:val="000000"/>
          <w:sz w:val="22"/>
          <w:szCs w:val="22"/>
        </w:rPr>
        <w:t xml:space="preserve">Text extraction still returns the original glyphs hidden under the box, so the text-over-text detector (7.3) also fires on the painted text, and its 25-point clustering can split one replaced block into many findings. Any text-over-text cluster with at least 80% of its area inside a white box on the same page is folded into that white-box finding (merge_text_over_white_box, WHITE_BOX_MERGE_MIN_INSIDE = 0.80). One white box is therefore one finding, for counting and risk scoring, and its detail keeps samples of the original-versus-painted glyphs. Clusters mostly outside the box remain separate findings.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pStyle w:val="ListParagraph"/>
        <w:numPr>
          <w:ilvl w:val="0"/>
          <w:numId w:val="2"/>
        </w:numPr>
        <w:spacing w:after="60" w:before="60"/>
      </w:pPr>
      <w:r>
        <w:rPr>
          <w:rFonts w:ascii="Arial" w:cs="Arial" w:eastAsia="Arial" w:hAnsi="Arial"/>
          <w:b/>
          <w:bCs/>
          <w:color w:val="000000"/>
          <w:sz w:val="22"/>
          <w:szCs w:val="22"/>
        </w:rPr>
        <w:t xml:space="preserve">Not neighbouring characters: </w:t>
      </w:r>
      <w:r>
        <w:rPr>
          <w:rFonts w:ascii="Arial" w:cs="Arial" w:eastAsia="Arial" w:hAnsi="Arial"/>
          <w:color w:val="000000"/>
          <w:sz w:val="22"/>
          <w:szCs w:val="22"/>
        </w:rPr>
        <w:t xml:space="preserve">The pair is not two neighbouring characters of the same run of text. Each extracted line is divided into runs wherever the drawing position steps backwards; within a run, a character drawn later and further along the line is the next character of the same text, however tightly spaced, and the pair is skipped. Text drawn over existing text either appears as a separate line (it is drawn later, back at an earlier position) or steps back within the line and starts a new run, so it is still compared. Since build 2026-10-13.</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the 0.55 threshold and the characters differ. Overlapping pairs within 25 points of each other are grouped into one cluster, and one TEXT_OVERLAY (text_over_text) finding is emitted per cluster, listing the underlying and overlying glyphs.</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80" w:before="80"/>
      </w:pPr>
      <w:r>
        <w:rPr>
          <w:rFonts w:ascii="Arial" w:cs="Arial" w:eastAsia="Arial" w:hAnsi="Arial"/>
          <w:color w:val="000000"/>
          <w:sz w:val="22"/>
          <w:szCs w:val="22"/>
        </w:rPr>
        <w:t xml:space="preserve">The Visual Overlay Report ({case}_visual-overlays_{timestamp}.html, in the reports folder) shows every page that has TEXT_OVERLAY findings as layers the examiner can switch on and off. With every overlay ticked the page appears exactly as received; with none ticked it shows the recovered original content; any combination in between can be displayed and printed. Since build 2026-10-08 every page is verified before it is presented as layers (7.4.3).</w:t>
      </w:r>
    </w:p>
    <w:p>
      <w:pPr>
        <w:pStyle w:val="Heading3"/>
        <w:spacing w:after="60" w:before="200"/>
      </w:pPr>
      <w:r>
        <w:rPr>
          <w:rFonts w:ascii="Arial" w:cs="Arial" w:eastAsia="Arial" w:hAnsi="Arial"/>
          <w:b/>
          <w:bCs/>
          <w:color w:val="2E75B6"/>
          <w:sz w:val="22"/>
          <w:szCs w:val="22"/>
        </w:rPr>
        <w:t xml:space="preserve">7.4.1 How Each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rendered at 144 DPI with PyMuPDF.</w:t>
      </w:r>
    </w:p>
    <w:p>
      <w:pPr>
        <w:pStyle w:val="ListParagraph"/>
        <w:numPr>
          <w:ilvl w:val="0"/>
          <w:numId w:val="2"/>
        </w:numPr>
        <w:spacing w:after="60" w:before="60"/>
      </w:pPr>
      <w:r>
        <w:rPr>
          <w:rFonts w:ascii="Arial" w:cs="Arial" w:eastAsia="Arial" w:hAnsi="Arial"/>
          <w:color w:val="000000"/>
          <w:sz w:val="22"/>
          <w:szCs w:val="22"/>
        </w:rPr>
        <w:t xml:space="preserve">Base (all overlays removed): annotations are removed by object reference (obj_num/obj_gen), which separates stacked annotations that share one /Rect; an inline white box is removed together with the text painted on it; for text over text, the content stream that drew the earliest text in the region is treated as the underlying layer and only text from a different stream drawn after it is removed. When original and overlying text are in the same stream they cannot be told apart from the content structure, so the region is left unchanged and reported as skipped rather than guessed at.</w:t>
      </w:r>
    </w:p>
    <w:p>
      <w:pPr>
        <w:pStyle w:val="ListParagraph"/>
        <w:numPr>
          <w:ilvl w:val="0"/>
          <w:numId w:val="2"/>
        </w:numPr>
        <w:spacing w:after="60" w:before="60"/>
      </w:pPr>
      <w:r>
        <w:rPr>
          <w:rFonts w:ascii="Arial" w:cs="Arial" w:eastAsia="Arial" w:hAnsi="Arial"/>
          <w:color w:val="000000"/>
          <w:sz w:val="22"/>
          <w:szCs w:val="22"/>
        </w:rPr>
        <w:t xml:space="preserve">Overlay layers: for each overlay, the page with only that overlay present is rendered and compared with the base; pixels whose largest per-channel difference exceeds 10 form a transparent layer. A per-channel test is used because a luminance test under-weights blue (dark-blue text over black text differs by about 90 in blue but about 10 in luminance).</w:t>
      </w:r>
    </w:p>
    <w:p>
      <w:pPr>
        <w:pStyle w:val="Heading3"/>
        <w:spacing w:after="60" w:before="200"/>
      </w:pPr>
      <w:r>
        <w:rPr>
          <w:rFonts w:ascii="Arial" w:cs="Arial" w:eastAsia="Arial" w:hAnsi="Arial"/>
          <w:b/>
          <w:bCs/>
          <w:color w:val="2E75B6"/>
          <w:sz w:val="22"/>
          <w:szCs w:val="22"/>
        </w:rPr>
        <w:t xml:space="preserve">7.4.2 White-Box Alterations Shown Step by Step</w:t>
      </w:r>
    </w:p>
    <w:p>
      <w:pPr>
        <w:spacing w:after="80" w:before="80"/>
      </w:pPr>
      <w:r>
        <w:rPr>
          <w:rFonts w:ascii="Arial" w:cs="Arial" w:eastAsia="Arial" w:hAnsi="Arial"/>
          <w:color w:val="000000"/>
          <w:sz w:val="22"/>
          <w:szCs w:val="22"/>
        </w:rPr>
        <w:t xml:space="preserve">A white-box alteration is counted as one finding but displayed as its component edits: the box, then each line of text painted on it, labelled 1a, 1b, 1c and so on under an Alteration heading. The fill operators and the painted-text operators are identified in the content stream (reveal.white_box_components), the painted text is grouped into lines by baseline (3-point tolerance), and each line is labelled with its decoded text where the font encoding is plain text. The box layer is measured against the base; each line’s layer is the box plus that line measured against the box alone, so glyphs lying directly over original text of the same colour are captured completely. The examiner can therefore view the blank box hiding the original, the painted text alone over the original, any single line, or the final page.</w:t>
      </w:r>
    </w:p>
    <w:p>
      <w:pPr>
        <w:pStyle w:val="Heading3"/>
        <w:spacing w:after="60" w:before="200"/>
      </w:pPr>
      <w:r>
        <w:rPr>
          <w:rFonts w:ascii="Arial" w:cs="Arial" w:eastAsia="Arial" w:hAnsi="Arial"/>
          <w:b/>
          <w:bCs/>
          <w:color w:val="2E75B6"/>
          <w:sz w:val="22"/>
          <w:szCs w:val="22"/>
        </w:rPr>
        <w:t xml:space="preserve">7.4.3 Self-Check and As-Received Fallback</w:t>
      </w:r>
    </w:p>
    <w:p>
      <w:pPr>
        <w:spacing w:after="80" w:before="80"/>
      </w:pPr>
      <w:r>
        <w:rPr>
          <w:rFonts w:ascii="Arial" w:cs="Arial" w:eastAsia="Arial" w:hAnsi="Arial"/>
          <w:color w:val="000000"/>
          <w:sz w:val="22"/>
          <w:szCs w:val="22"/>
        </w:rPr>
        <w:t xml:space="preserve">The removal step cannot detect its own errors: a removal that deleted genuine content is reported as a success. Each page is therefore verified: the base plus every layer, composited in stacking order, must reproduce the as-received render within the overlay areas, with no more than 2% of pixels differing by more than 64 on any channel. If the check fails, the page is shown exactly as received, the toggles are disabled, and the page states that the overlays could not be separated reliably. When the check passes and every overlay is ticked, the as-received render itself is displayed, so the opening view always matches a PDF viewer.</w:t>
      </w:r>
    </w:p>
    <w:p>
      <w:pPr>
        <w:pStyle w:val="Heading3"/>
        <w:spacing w:after="60" w:before="200"/>
      </w:pPr>
      <w:r>
        <w:rPr>
          <w:rFonts w:ascii="Arial" w:cs="Arial" w:eastAsia="Arial" w:hAnsi="Arial"/>
          <w:b/>
          <w:bCs/>
          <w:color w:val="2E75B6"/>
          <w:sz w:val="22"/>
          <w:szCs w:val="22"/>
        </w:rPr>
        <w:t xml:space="preserve">7.4.4 Controls and Printing</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w:t>
      </w:r>
    </w:p>
    <w:p>
      <w:pPr>
        <w:pStyle w:val="ListParagraph"/>
        <w:numPr>
          <w:ilvl w:val="0"/>
          <w:numId w:val="2"/>
        </w:numPr>
        <w:spacing w:after="60" w:before="60"/>
      </w:pPr>
      <w:r>
        <w:rPr>
          <w:rFonts w:ascii="Arial" w:cs="Arial" w:eastAsia="Arial" w:hAnsi="Arial"/>
          <w:color w:val="000000"/>
          <w:sz w:val="22"/>
          <w:szCs w:val="22"/>
        </w:rPr>
        <w:t xml:space="preserve">Numbered badges, in stacking order (1 = bottom), are drawn over the page rather than into the image, so stacked overlays do not hide each other’s numbers. Each badge can be dragged; a dashed leader line traces back to its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per-overlay summary below the page is black text on white so it remains legible in print. Printing reproduces the page exactly as toggled on screen.</w:t>
      </w:r>
    </w:p>
    <w:p>
      <w:pPr>
        <w:pStyle w:val="Heading3"/>
        <w:spacing w:after="60" w:before="200"/>
      </w:pPr>
      <w:r>
        <w:rPr>
          <w:rFonts w:ascii="Arial" w:cs="Arial" w:eastAsia="Arial" w:hAnsi="Arial"/>
          <w:b/>
          <w:bCs/>
          <w:color w:val="2E75B6"/>
          <w:sz w:val="22"/>
          <w:szCs w:val="22"/>
        </w:rPr>
        <w:t xml:space="preserve">7.4.5 Limitations</w:t>
      </w:r>
    </w:p>
    <w:p>
      <w:pPr>
        <w:pStyle w:val="ListParagraph"/>
        <w:numPr>
          <w:ilvl w:val="0"/>
          <w:numId w:val="2"/>
        </w:numPr>
        <w:spacing w:after="60" w:before="60"/>
      </w:pPr>
      <w:r>
        <w:rPr>
          <w:rFonts w:ascii="Arial" w:cs="Arial" w:eastAsia="Arial" w:hAnsi="Arial"/>
          <w:color w:val="000000"/>
          <w:sz w:val="22"/>
          <w:szCs w:val="22"/>
        </w:rPr>
        <w:t xml:space="preserve">A white box wrapped together with its text inside its own Form XObject is shown as a single layer, not step by step.</w:t>
      </w:r>
    </w:p>
    <w:p>
      <w:pPr>
        <w:pStyle w:val="ListParagraph"/>
        <w:numPr>
          <w:ilvl w:val="0"/>
          <w:numId w:val="2"/>
        </w:numPr>
        <w:spacing w:after="60" w:before="60"/>
      </w:pPr>
      <w:r>
        <w:rPr>
          <w:rFonts w:ascii="Arial" w:cs="Arial" w:eastAsia="Arial" w:hAnsi="Arial"/>
          <w:color w:val="000000"/>
          <w:sz w:val="22"/>
          <w:szCs w:val="22"/>
        </w:rPr>
        <w:t xml:space="preserve">Some content-stream overlays cannot be isolated; they are listed but not independently toggleable.</w:t>
      </w:r>
    </w:p>
    <w:p>
      <w:pPr>
        <w:pStyle w:val="ListParagraph"/>
        <w:numPr>
          <w:ilvl w:val="0"/>
          <w:numId w:val="2"/>
        </w:numPr>
        <w:spacing w:after="60" w:before="60"/>
      </w:pPr>
      <w:r>
        <w:rPr>
          <w:rFonts w:ascii="Arial" w:cs="Arial" w:eastAsia="Arial" w:hAnsi="Arial"/>
          <w:color w:val="000000"/>
          <w:sz w:val="22"/>
          <w:szCs w:val="22"/>
        </w:rPr>
        <w:t xml:space="preserve">The report is a derived exhibit generated from the source file. Present it with the source file’s MD5 and the build recorded in its header.</w:t>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950"/>
      <w:r>
        <w:rPr>
          <w:rFonts w:ascii="Arial" w:cs="Arial" w:eastAsia="Arial" w:hAnsi="Arial"/>
          <w:b/>
          <w:bCs/>
          <w:color w:val="1F3864"/>
          <w:sz w:val="32"/>
          <w:szCs w:val="32"/>
        </w:rPr>
        <w:t xml:space="preserve">10. Encrypted PDFs</w:t>
      </w:r>
      <w:bookmarkEnd w:id="950"/>
    </w:p>
    <w:p>
      <w:pPr>
        <w:spacing w:after="80" w:before="80"/>
      </w:pPr>
      <w:r>
        <w:rPr>
          <w:rFonts w:ascii="Arial" w:cs="Arial" w:eastAsia="Arial" w:hAnsi="Arial"/>
          <w:color w:val="000000"/>
          <w:sz w:val="22"/>
          <w:szCs w:val="22"/>
        </w:rPr>
        <w:t xml:space="preserve">When a submitted PDF is password-encrypted, the application tries to open it so the document can be analysed, using passwords the examiner already holds. It is not a password cracker: it makes one attempt per supplied password, in a fixed order, and stops at the first that works. It does not generate, mutate or brute-force passwords. Nothing is written to the file and no PDF is modified; a file is only opened for reading (pdf_forensics/passwords.py).</w:t>
      </w:r>
    </w:p>
    <w:p>
      <w:pPr>
        <w:pStyle w:val="Heading2"/>
      </w:pPr>
      <w:bookmarkStart w:name="s10_1" w:id="951"/>
      <w:r>
        <w:rPr>
          <w:rFonts w:ascii="Arial" w:cs="Arial" w:eastAsia="Arial" w:hAnsi="Arial"/>
        </w:rPr>
        <w:t xml:space="preserve">10.1 Encryption and the Empty Password</w:t>
      </w:r>
      <w:bookmarkEnd w:id="951"/>
    </w:p>
    <w:p>
      <w:pPr>
        <w:spacing w:after="80" w:before="80"/>
      </w:pPr>
      <w:r>
        <w:rPr>
          <w:rFonts w:ascii="Arial" w:cs="Arial" w:eastAsia="Arial" w:hAnsi="Arial"/>
          <w:color w:val="000000"/>
          <w:sz w:val="22"/>
          <w:szCs w:val="22"/>
        </w:rPr>
        <w:t xml:space="preserve">A PDF’s /Encrypt dictionary can require a password to open the file (a user password) or only to change permissions (an owner password, with an empty user password). A “permissions-only” file opens with the empty password; a genuinely locked file does not. The application detects encryption from the /Encrypt dictionary even when the file opens with the empty password, so permissions-only files are recorded and reported rather than treated as unencrypted. The encryption scheme (RC4-40/128, AES-128, AES-256) is read from /Encrypt’s /V and /R, which are not themselves encrypted; for a locked file the scheme may be unavailable because pikepdf will not open the file at all without the password.</w:t>
      </w:r>
    </w:p>
    <w:p>
      <w:pPr>
        <w:pStyle w:val="Heading2"/>
      </w:pPr>
      <w:bookmarkStart w:name="s10_2" w:id="952"/>
      <w:r>
        <w:rPr>
          <w:rFonts w:ascii="Arial" w:cs="Arial" w:eastAsia="Arial" w:hAnsi="Arial"/>
        </w:rPr>
        <w:t xml:space="preserve">10.2 Order of Attempts</w:t>
      </w:r>
      <w:bookmarkEnd w:id="952"/>
    </w:p>
    <w:p>
      <w:pPr>
        <w:spacing w:after="80" w:before="80"/>
      </w:pPr>
      <w:r>
        <w:rPr>
          <w:rFonts w:ascii="Arial" w:cs="Arial" w:eastAsia="Arial" w:hAnsi="Arial"/>
          <w:color w:val="000000"/>
          <w:sz w:val="22"/>
          <w:szCs w:val="22"/>
        </w:rPr>
        <w:t xml:space="preserve">The examiner supplies a text file of candidate passwords. For each file the order is:</w:t>
      </w:r>
    </w:p>
    <w:p>
      <w:pPr>
        <w:pStyle w:val="ListParagraph"/>
        <w:numPr>
          <w:ilvl w:val="0"/>
          <w:numId w:val="2"/>
        </w:numPr>
        <w:spacing w:after="60" w:before="60"/>
      </w:pPr>
      <w:r>
        <w:rPr>
          <w:rFonts w:ascii="Arial" w:cs="Arial" w:eastAsia="Arial" w:hAnsi="Arial"/>
          <w:color w:val="000000"/>
          <w:sz w:val="22"/>
          <w:szCs w:val="22"/>
        </w:rPr>
        <w:t xml:space="preserve">the empty password, which opens permissions-only files at no list cost;</w:t>
      </w:r>
    </w:p>
    <w:p>
      <w:pPr>
        <w:pStyle w:val="ListParagraph"/>
        <w:numPr>
          <w:ilvl w:val="0"/>
          <w:numId w:val="2"/>
        </w:numPr>
        <w:spacing w:after="60" w:before="60"/>
      </w:pPr>
      <w:r>
        <w:rPr>
          <w:rFonts w:ascii="Arial" w:cs="Arial" w:eastAsia="Arial" w:hAnsi="Arial"/>
          <w:color w:val="000000"/>
          <w:sz w:val="22"/>
          <w:szCs w:val="22"/>
        </w:rPr>
        <w:t xml:space="preserve">passwords already found to work in this run, most-recently-successful first, because custodians commonly reuse one password across many files;</w:t>
      </w:r>
    </w:p>
    <w:p>
      <w:pPr>
        <w:pStyle w:val="ListParagraph"/>
        <w:numPr>
          <w:ilvl w:val="0"/>
          <w:numId w:val="2"/>
        </w:numPr>
        <w:spacing w:after="60" w:before="60"/>
      </w:pPr>
      <w:r>
        <w:rPr>
          <w:rFonts w:ascii="Arial" w:cs="Arial" w:eastAsia="Arial" w:hAnsi="Arial"/>
          <w:color w:val="000000"/>
          <w:sz w:val="22"/>
          <w:szCs w:val="22"/>
        </w:rPr>
        <w:t xml:space="preserve">the remaining supplied passwords, in the order given in the file.</w:t>
      </w:r>
    </w:p>
    <w:p>
      <w:pPr>
        <w:spacing w:after="80" w:before="80"/>
      </w:pPr>
      <w:r>
        <w:rPr>
          <w:rFonts w:ascii="Arial" w:cs="Arial" w:eastAsia="Arial" w:hAnsi="Arial"/>
          <w:b/>
          <w:bCs/>
          <w:color w:val="000000"/>
          <w:sz w:val="22"/>
          <w:szCs w:val="22"/>
        </w:rPr>
        <w:t xml:space="preserve">Promotion. </w:t>
      </w:r>
      <w:r>
        <w:rPr>
          <w:rFonts w:ascii="Arial" w:cs="Arial" w:eastAsia="Arial" w:hAnsi="Arial"/>
          <w:color w:val="000000"/>
          <w:sz w:val="22"/>
          <w:szCs w:val="22"/>
        </w:rPr>
        <w:t xml:space="preserve">A password that opens a file is promoted to the front of the known-good list for the files that follow, so a shared password is usually found on the first attempt after the first file. One PasswordManager instance is shared across the whole batch so this carries forward. A soft limit of 1,000 passwords brings a warning but is not enforced; AES-256 is deliberately slow to verify, so large lists cost more against AES-256 files than older schemes.</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exactly as written apart from the trailing line break, so leading and trailing spaces and a leading # are part of the password and there are no comment lines. The file is decoded as UTF-8, UTF-16 or the Windows legacy encoding, detected from its bytes. Duplicates are de-duplicated but order is preserved (read_password_list).</w:t>
      </w:r>
    </w:p>
    <w:p>
      <w:pPr>
        <w:pStyle w:val="Heading2"/>
      </w:pPr>
      <w:bookmarkStart w:name="s10_3" w:id="953"/>
      <w:r>
        <w:rPr>
          <w:rFonts w:ascii="Arial" w:cs="Arial" w:eastAsia="Arial" w:hAnsi="Arial"/>
        </w:rPr>
        <w:t xml:space="preserve">10.3 Outcomes and the Record</w:t>
      </w:r>
      <w:bookmarkEnd w:id="953"/>
    </w:p>
    <w:p>
      <w:pPr>
        <w:spacing w:after="80" w:before="80"/>
      </w:pPr>
      <w:r>
        <w:rPr>
          <w:rFonts w:ascii="Arial" w:cs="Arial" w:eastAsia="Arial" w:hAnsi="Arial"/>
          <w:color w:val="000000"/>
          <w:sz w:val="22"/>
          <w:szCs w:val="22"/>
        </w:rPr>
        <w:t xml:space="preserve">Each submitted file has one of these outcomes, recorded in the encryption table and shown in the Encrypted Files report:</w:t>
      </w:r>
    </w:p>
    <w:p>
      <w:pPr>
        <w:pStyle w:val="ListParagraph"/>
        <w:numPr>
          <w:ilvl w:val="0"/>
          <w:numId w:val="2"/>
        </w:numPr>
        <w:spacing w:after="60" w:before="60"/>
      </w:pPr>
      <w:r>
        <w:rPr>
          <w:rFonts w:ascii="Arial" w:cs="Arial" w:eastAsia="Arial" w:hAnsi="Arial"/>
          <w:color w:val="000000"/>
          <w:sz w:val="22"/>
          <w:szCs w:val="22"/>
        </w:rPr>
        <w:t xml:space="preserve">not encrypted (not listed in the report);</w:t>
      </w:r>
    </w:p>
    <w:p>
      <w:pPr>
        <w:pStyle w:val="ListParagraph"/>
        <w:numPr>
          <w:ilvl w:val="0"/>
          <w:numId w:val="2"/>
        </w:numPr>
        <w:spacing w:after="60" w:before="60"/>
      </w:pPr>
      <w:r>
        <w:rPr>
          <w:rFonts w:ascii="Arial" w:cs="Arial" w:eastAsia="Arial" w:hAnsi="Arial"/>
          <w:color w:val="000000"/>
          <w:sz w:val="22"/>
          <w:szCs w:val="22"/>
        </w:rPr>
        <w:t xml:space="preserve">opened with no password (permissions-only encryption);</w:t>
      </w:r>
    </w:p>
    <w:p>
      <w:pPr>
        <w:pStyle w:val="ListParagraph"/>
        <w:numPr>
          <w:ilvl w:val="0"/>
          <w:numId w:val="2"/>
        </w:numPr>
        <w:spacing w:after="60" w:before="60"/>
      </w:pPr>
      <w:r>
        <w:rPr>
          <w:rFonts w:ascii="Arial" w:cs="Arial" w:eastAsia="Arial" w:hAnsi="Arial"/>
          <w:color w:val="000000"/>
          <w:sz w:val="22"/>
          <w:szCs w:val="22"/>
        </w:rPr>
        <w:t xml:space="preserve">opened with a supplied password: the password is stored and shown verbatim, as part of the forensic record and the repeatable procedure;</w:t>
      </w:r>
    </w:p>
    <w:p>
      <w:pPr>
        <w:pStyle w:val="ListParagraph"/>
        <w:numPr>
          <w:ilvl w:val="0"/>
          <w:numId w:val="2"/>
        </w:numPr>
        <w:spacing w:after="60" w:before="60"/>
      </w:pPr>
      <w:r>
        <w:rPr>
          <w:rFonts w:ascii="Arial" w:cs="Arial" w:eastAsia="Arial" w:hAnsi="Arial"/>
          <w:color w:val="000000"/>
          <w:sz w:val="22"/>
          <w:szCs w:val="22"/>
        </w:rPr>
        <w:t xml:space="preserve">not opened because no supplied password worked (the number tried is recorded);</w:t>
      </w:r>
    </w:p>
    <w:p>
      <w:pPr>
        <w:pStyle w:val="ListParagraph"/>
        <w:numPr>
          <w:ilvl w:val="0"/>
          <w:numId w:val="2"/>
        </w:numPr>
        <w:spacing w:after="60" w:before="60"/>
      </w:pPr>
      <w:r>
        <w:rPr>
          <w:rFonts w:ascii="Arial" w:cs="Arial" w:eastAsia="Arial" w:hAnsi="Arial"/>
          <w:color w:val="000000"/>
          <w:sz w:val="22"/>
          <w:szCs w:val="22"/>
        </w:rPr>
        <w:t xml:space="preserve">not opened because no password list was supplied, distinguished from the previous case so a reviewer can tell the file was never attempted against a list.</w:t>
      </w:r>
    </w:p>
    <w:p>
      <w:pPr>
        <w:spacing w:after="80" w:before="80"/>
      </w:pPr>
      <w:r>
        <w:rPr>
          <w:rFonts w:ascii="Arial" w:cs="Arial" w:eastAsia="Arial" w:hAnsi="Arial"/>
          <w:b/>
          <w:bCs/>
          <w:color w:val="000000"/>
          <w:sz w:val="22"/>
          <w:szCs w:val="22"/>
        </w:rPr>
        <w:t xml:space="preserve">Locked files. </w:t>
      </w:r>
      <w:r>
        <w:rPr>
          <w:rFonts w:ascii="Arial" w:cs="Arial" w:eastAsia="Arial" w:hAnsi="Arial"/>
          <w:color w:val="000000"/>
          <w:sz w:val="22"/>
          <w:szCs w:val="22"/>
        </w:rPr>
        <w:t xml:space="preserve">A locked file that cannot be opened is recorded, noted in the session log, counted as an encrypted_unopened submission (so it is accounted for), and not analysed. A file that is opened is analysed normally, and its encryption record is linked to its analysis. The engine always runs this step, so outcomes are recorded whether or not a list was supplied (passwords.resolve_file_password).</w:t>
      </w:r>
    </w:p>
    <w:p>
      <w:pPr>
        <w:pStyle w:val="Heading2"/>
      </w:pPr>
      <w:bookmarkStart w:name="s10_4" w:id="954"/>
      <w:r>
        <w:rPr>
          <w:rFonts w:ascii="Arial" w:cs="Arial" w:eastAsia="Arial" w:hAnsi="Arial"/>
        </w:rPr>
        <w:t xml:space="preserve">10.4 Workflow</w:t>
      </w:r>
      <w:bookmarkEnd w:id="954"/>
    </w:p>
    <w:p>
      <w:pPr>
        <w:spacing w:after="80" w:before="80"/>
      </w:pPr>
      <w:r>
        <w:rPr>
          <w:rFonts w:ascii="Arial" w:cs="Arial" w:eastAsia="Arial" w:hAnsi="Arial"/>
          <w:color w:val="000000"/>
          <w:sz w:val="22"/>
          <w:szCs w:val="22"/>
        </w:rPr>
        <w:t xml:space="preserve">A password list is optional at the start of a run. If encrypted files are met and no list was supplied, or the supplied list did not open them, those files are set aside and the run continues to the end; the application then offers to try a password list on just those files, so a large unattended batch is never left waiting mid-run. On the command line, which cannot prompt, locked files are recorded as “no list supplied” and the run ends with a note to re-run with --password-list.</w:t>
      </w:r>
    </w:p>
    <w:p>
      <w:pPr>
        <w:spacing w:after="80" w:before="80"/>
      </w:pPr>
      <w:r>
        <w:rPr>
          <w:rFonts w:ascii="Arial" w:cs="Arial" w:eastAsia="Arial" w:hAnsi="Arial"/>
          <w:b/>
          <w:bCs/>
          <w:color w:val="000000"/>
          <w:sz w:val="22"/>
          <w:szCs w:val="22"/>
        </w:rPr>
        <w:t xml:space="preserve">Handling. </w:t>
      </w:r>
      <w:r>
        <w:rPr>
          <w:rFonts w:ascii="Arial" w:cs="Arial" w:eastAsia="Arial" w:hAnsi="Arial"/>
          <w:color w:val="000000"/>
          <w:sz w:val="22"/>
          <w:szCs w:val="22"/>
        </w:rPr>
        <w:t xml:space="preserve">The Encrypted Files report contains passwords. Its header carries a visible caution, and it should be handled and shared with the same care as the password list itself. The application does not store the password list or keep it between cases; it is chosen each run and nothing about it other than its path, MD5 and the successful passwords is written to the case record.</w:t>
      </w:r>
    </w:p>
    <w:p>
      <w:pPr>
        <w:pStyle w:val="Heading1"/>
        <w:pBdr>
          <w:bottom w:val="single" w:color="2E75B6" w:sz="6" w:space="4"/>
        </w:pBdr>
        <w:spacing w:after="120" w:before="360"/>
      </w:pPr>
      <w:bookmarkStart w:name="s11" w:id="43"/>
      <w:r>
        <w:rPr>
          <w:rFonts w:ascii="Arial" w:cs="Arial" w:eastAsia="Arial" w:hAnsi="Arial"/>
          <w:b/>
          <w:bCs/>
          <w:color w:val="1F3864"/>
          <w:sz w:val="32"/>
          <w:szCs w:val="32"/>
        </w:rPr>
        <w:t xml:space="preserve">11.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1_1" w:id="44"/>
      <w:r>
        <w:rPr>
          <w:rFonts w:ascii="Arial" w:cs="Arial" w:eastAsia="Arial" w:hAnsi="Arial"/>
          <w:b/>
          <w:bCs/>
          <w:color w:val="1F3864"/>
          <w:sz w:val="26"/>
          <w:szCs w:val="26"/>
        </w:rPr>
        <w:t xml:space="preserve">11.1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1_2" w:id="45"/>
      <w:r>
        <w:rPr>
          <w:rFonts w:ascii="Arial" w:cs="Arial" w:eastAsia="Arial" w:hAnsi="Arial"/>
          <w:b/>
          <w:bCs/>
          <w:color w:val="1F3864"/>
          <w:sz w:val="26"/>
          <w:szCs w:val="26"/>
        </w:rPr>
        <w:t xml:space="preserve">11.2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spacing w:after="80" w:before="80"/>
      </w:pPr>
      <w:r>
        <w:rPr>
          <w:rFonts w:ascii="Arial" w:cs="Arial" w:eastAsia="Arial" w:hAnsi="Arial"/>
          <w:b/>
          <w:bCs/>
          <w:color w:val="000000"/>
          <w:sz w:val="22"/>
          <w:szCs w:val="22"/>
        </w:rPr>
        <w:t xml:space="preserve">Counting overlays. </w:t>
      </w:r>
      <w:r>
        <w:rPr>
          <w:rFonts w:ascii="Arial" w:cs="Arial" w:eastAsia="Arial" w:hAnsi="Arial"/>
          <w:color w:val="000000"/>
          <w:sz w:val="22"/>
          <w:szCs w:val="22"/>
        </w:rPr>
        <w:t xml:space="preserve">Since build 2026-10-08 a white box with painted text counts as one TEXT_OVERLAY finding (+35 once) rather than one per text-over-text fragment (7.2.1); a covering box and a stacked replacement-text annotation remain two findings (7.1.1). Documents analysed with earlier builds keep their stored scores until re-analysed.</w:t>
      </w:r>
    </w:p>
    <w:p>
      <w:pPr>
        <w:pStyle w:val="Heading1"/>
        <w:pBdr>
          <w:bottom w:val="single" w:color="2E75B6" w:sz="6" w:space="4"/>
        </w:pBdr>
        <w:spacing w:after="120" w:before="360"/>
      </w:pPr>
      <w:bookmarkStart w:name="s12" w:id="46"/>
      <w:r>
        <w:rPr>
          <w:rFonts w:ascii="Arial" w:cs="Arial" w:eastAsia="Arial" w:hAnsi="Arial"/>
          <w:b/>
          <w:bCs/>
          <w:color w:val="1F3864"/>
          <w:sz w:val="32"/>
          <w:szCs w:val="32"/>
        </w:rPr>
        <w:t xml:space="preserve">12.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spacing w:after="80" w:before="80"/>
      </w:pPr>
      <w:r>
        <w:rPr>
          <w:rFonts w:ascii="Arial" w:cs="Arial" w:eastAsia="Arial" w:hAnsi="Arial"/>
          <w:color w:val="000000"/>
          <w:sz w:val="22"/>
          <w:szCs w:val="22"/>
        </w:rPr>
        <w:t xml:space="preserve">OCR-converted documents. When a scan is converted by OCR into real text over a background image, the OCR application squeezes each recognised word into the width it occupied on the scan, so neighbouring letters overlap one another. Builds before 2026-10-13 reported these overlaps as text drawn over text; in one case a single page produced dozens of such findings, all on form labels and placeholders, none on altered content. The text-over-text detector now skips neighbouring characters of the same run (section 7.3.1). Re-analyse documents processed with earlier builds. Note that in an OCR-converted document the image of the original wording is usually removed, so an edit to the OCR text cannot be compared with the scan; look instead for incremental updates, a change of Producer or a late modification date, and text in a font or with spacing that differs from the OCR engine’s.</w:t>
      </w:r>
    </w:p>
    <w:p>
      <w:pPr>
        <w:pStyle w:val="Heading1"/>
        <w:pBdr>
          <w:bottom w:val="single" w:color="2E75B6" w:sz="6" w:space="4"/>
        </w:pBdr>
        <w:spacing w:after="120" w:before="360"/>
      </w:pPr>
      <w:bookmarkStart w:name="s13" w:id="47"/>
      <w:r>
        <w:rPr>
          <w:rFonts w:ascii="Arial" w:cs="Arial" w:eastAsia="Arial" w:hAnsi="Arial"/>
          <w:b/>
          <w:bCs/>
          <w:color w:val="1F3864"/>
          <w:sz w:val="32"/>
          <w:szCs w:val="32"/>
        </w:rPr>
        <w:t xml:space="preserve">13.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3_1" w:id="48"/>
      <w:r>
        <w:rPr>
          <w:rFonts w:ascii="Arial" w:cs="Arial" w:eastAsia="Arial" w:hAnsi="Arial"/>
          <w:b/>
          <w:bCs/>
          <w:color w:val="1F3864"/>
          <w:sz w:val="26"/>
          <w:szCs w:val="26"/>
        </w:rPr>
        <w:t xml:space="preserve">13.1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3_2" w:id="49"/>
      <w:r>
        <w:rPr>
          <w:rFonts w:ascii="Arial" w:cs="Arial" w:eastAsia="Arial" w:hAnsi="Arial"/>
          <w:b/>
          <w:bCs/>
          <w:color w:val="1F3864"/>
          <w:sz w:val="26"/>
          <w:szCs w:val="26"/>
        </w:rPr>
        <w:t xml:space="preserve">13.2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3_3" w:id="50"/>
      <w:r>
        <w:rPr>
          <w:rFonts w:ascii="Arial" w:cs="Arial" w:eastAsia="Arial" w:hAnsi="Arial"/>
          <w:b/>
          <w:bCs/>
          <w:color w:val="1F3864"/>
          <w:sz w:val="26"/>
          <w:szCs w:val="26"/>
        </w:rPr>
        <w:t xml:space="preserve">13.3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3_4" w:id="51"/>
      <w:r>
        <w:rPr>
          <w:rFonts w:ascii="Arial" w:cs="Arial" w:eastAsia="Arial" w:hAnsi="Arial"/>
          <w:b/>
          <w:bCs/>
          <w:color w:val="1F3864"/>
          <w:sz w:val="26"/>
          <w:szCs w:val="26"/>
        </w:rPr>
        <w:t xml:space="preserve">13.4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3_5" w:id="52"/>
      <w:r>
        <w:rPr>
          <w:rFonts w:ascii="Arial" w:cs="Arial" w:eastAsia="Arial" w:hAnsi="Arial"/>
          <w:b/>
          <w:bCs/>
          <w:color w:val="1F3864"/>
          <w:sz w:val="26"/>
          <w:szCs w:val="26"/>
        </w:rPr>
        <w:t xml:space="preserve">13.5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3_6" w:id="53"/>
      <w:r>
        <w:rPr>
          <w:rFonts w:ascii="Arial" w:cs="Arial" w:eastAsia="Arial" w:hAnsi="Arial"/>
          <w:b/>
          <w:bCs/>
          <w:color w:val="1F3864"/>
          <w:sz w:val="26"/>
          <w:szCs w:val="26"/>
        </w:rPr>
        <w:t xml:space="preserve">13.6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4" w:id="54"/>
      <w:r>
        <w:rPr>
          <w:rFonts w:ascii="Arial" w:cs="Arial" w:eastAsia="Arial" w:hAnsi="Arial"/>
          <w:b/>
          <w:bCs/>
          <w:color w:val="1F3864"/>
          <w:sz w:val="32"/>
          <w:szCs w:val="32"/>
        </w:rPr>
        <w:t xml:space="preserve">14.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4_1" w:id="55"/>
      <w:r>
        <w:rPr>
          <w:rFonts w:ascii="Arial" w:cs="Arial" w:eastAsia="Arial" w:hAnsi="Arial"/>
          <w:b/>
          <w:bCs/>
          <w:color w:val="1F3864"/>
          <w:sz w:val="26"/>
          <w:szCs w:val="26"/>
        </w:rPr>
        <w:t xml:space="preserve">14.1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build date (in the session log header and on every report), 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spacing w:after="60" w:before="60"/>
      </w:pPr>
      <w:r>
        <w:rPr>
          <w:rFonts w:ascii="Arial" w:cs="Arial" w:eastAsia="Arial" w:hAnsi="Arial"/>
          <w:b/>
          <w:bCs/>
          <w:color w:val="000000"/>
          <w:sz w:val="22"/>
          <w:szCs w:val="22"/>
        </w:rPr>
        <w:t xml:space="preserve">Disclaimer acknowledgement: </w:t>
      </w:r>
      <w:r>
        <w:rPr>
          <w:rFonts w:ascii="Arial" w:cs="Arial" w:eastAsia="Arial" w:hAnsi="Arial"/>
          <w:color w:val="000000"/>
          <w:sz w:val="22"/>
          <w:szCs w:val="22"/>
        </w:rPr>
        <w:t xml:space="preserve">when the disclaimer was acknowledged, by which Windows user, on which computer, against which version of the disclaimer text (a fingerprint of the text shown) and with which build. Stored in the user’s settings file and written to every session log; the user is asked again if the disclaimer wording changes.</w:t>
      </w:r>
    </w:p>
    <w:p>
      <w:pPr>
        <w:pStyle w:val="ListParagraph"/>
        <w:numPr>
          <w:ilvl w:val="0"/>
          <w:numId w:val="2"/>
        </w:numPr>
        <w:spacing w:after="60" w:before="60"/>
      </w:pPr>
      <w:r>
        <w:rPr>
          <w:rFonts w:ascii="Arial" w:cs="Arial" w:eastAsia="Arial" w:hAnsi="Arial"/>
          <w:b/>
          <w:bCs/>
          <w:color w:val="000000"/>
          <w:sz w:val="22"/>
          <w:szCs w:val="22"/>
        </w:rPr>
        <w:t xml:space="preserve">PDF selection lists: </w:t>
      </w:r>
      <w:r>
        <w:rPr>
          <w:rFonts w:ascii="Arial" w:cs="Arial" w:eastAsia="Arial" w:hAnsi="Arial"/>
          <w:color w:val="000000"/>
          <w:sz w:val="22"/>
          <w:szCs w:val="22"/>
        </w:rPr>
        <w:t xml:space="preserve">when PDFs are selected from a text file (From list, or -l / --pdf-list), the session log records the list file’s path and MD5, how it was read, how many entries were added or ignored as duplicates, and every path that could not be found, so the selection that went into an analysis can be reproduced.</w:t>
      </w:r>
    </w:p>
    <w:p>
      <w:pPr>
        <w:pStyle w:val="ListParagraph"/>
        <w:numPr>
          <w:ilvl w:val="0"/>
          <w:numId w:val="2"/>
        </w:numPr>
        <w:spacing w:after="60" w:before="60"/>
      </w:pPr>
      <w:r>
        <w:rPr>
          <w:rFonts w:ascii="Arial" w:cs="Arial" w:eastAsia="Arial" w:hAnsi="Arial"/>
          <w:b/>
          <w:bCs/>
          <w:color w:val="000000"/>
          <w:sz w:val="22"/>
          <w:szCs w:val="22"/>
        </w:rPr>
        <w:t xml:space="preserve">Encrypted PDFs: </w:t>
      </w:r>
      <w:r>
        <w:rPr>
          <w:rFonts w:ascii="Arial" w:cs="Arial" w:eastAsia="Arial" w:hAnsi="Arial"/>
          <w:color w:val="000000"/>
          <w:sz w:val="22"/>
          <w:szCs w:val="22"/>
        </w:rPr>
        <w:t xml:space="preserve">for each encrypted PDF, whether it was opened (and with the empty password or a supplied password), or not, and the password that worked, in the encryption table and the Encrypted Files report. The password list itself is not stored; only its path and MD5 are logged. The successful password is recorded, as part of the evidence and the repeatable procedure.</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b/>
          <w:bCs/>
          <w:color w:val="000000"/>
          <w:sz w:val="22"/>
          <w:szCs w:val="22"/>
        </w:rPr>
        <w:t xml:space="preserve">Submitted files: </w:t>
      </w:r>
      <w:r>
        <w:rPr>
          <w:rFonts w:ascii="Arial" w:cs="Arial" w:eastAsia="Arial" w:hAnsi="Arial"/>
          <w:color w:val="000000"/>
          <w:sz w:val="22"/>
          <w:szCs w:val="22"/>
        </w:rPr>
        <w:t xml:space="preserve">every file submitted for analysis and its outcome (analysed; identical copy of a file already analysed, with the file it matches; failed, with the error; or not found) in the submissions table, with a run summary in the session log. A byte-identical copy is not re-analysed but is never silently dropped.</w:t>
      </w:r>
    </w:p>
    <w:p>
      <w:pPr>
        <w:pStyle w:val="ListParagraph"/>
        <w:numPr>
          <w:ilvl w:val="0"/>
          <w:numId w:val="2"/>
        </w:numPr>
        <w:spacing w:after="60" w:before="60"/>
      </w:pPr>
      <w:r>
        <w:rPr>
          <w:rFonts w:ascii="Arial" w:cs="Arial" w:eastAsia="Arial" w:hAnsi="Arial"/>
          <w:b/>
          <w:bCs/>
          <w:color w:val="000000"/>
          <w:sz w:val="22"/>
          <w:szCs w:val="22"/>
        </w:rPr>
        <w:t xml:space="preserve">Output manifest: </w:t>
      </w:r>
      <w:r>
        <w:rPr>
          <w:rFonts w:ascii="Arial" w:cs="Arial" w:eastAsia="Arial" w:hAnsi="Arial"/>
          <w:color w:val="000000"/>
          <w:sz w:val="22"/>
          <w:szCs w:val="22"/>
        </w:rPr>
        <w:t xml:space="preserve">the case index ({case}_index.html at the root of the case folder) lists every output grouped by the database it was produced from, warns when one database’s outputs come from more than one build, and records the size and MD5 of each database, report, graph, spreadsheet, log and prior version at the time it was built.</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4_2" w:id="56"/>
      <w:r>
        <w:rPr>
          <w:rFonts w:ascii="Arial" w:cs="Arial" w:eastAsia="Arial" w:hAnsi="Arial"/>
          <w:b/>
          <w:bCs/>
          <w:color w:val="1F3864"/>
          <w:sz w:val="26"/>
          <w:szCs w:val="26"/>
        </w:rPr>
        <w:t xml:space="preserve">14.2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build date and the git commit hash (if applicable) in the case notes.</w:t>
      </w:r>
    </w:p>
    <w:p>
      <w:pPr>
        <w:spacing w:after="80" w:before="0"/>
      </w:pPr>
      <w:r>
        <w:t xml:space="preserve"/>
      </w:r>
    </w:p>
    <w:p>
      <w:pPr>
        <w:pStyle w:val="Heading2"/>
        <w:spacing w:after="80" w:before="240"/>
      </w:pPr>
      <w:bookmarkStart w:name="s14_3" w:id="57"/>
      <w:r>
        <w:rPr>
          <w:rFonts w:ascii="Arial" w:cs="Arial" w:eastAsia="Arial" w:hAnsi="Arial"/>
          <w:b/>
          <w:bCs/>
          <w:color w:val="1F3864"/>
          <w:sz w:val="26"/>
          <w:szCs w:val="26"/>
        </w:rPr>
        <w:t xml:space="preserve">14.3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page images built from verified layers (section 7.4); a page that fails verification is shown only as received. These are derived exhibits — they are generated from the source file and must be presented with their derivation documented, including the build shown in the report header.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13,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5" w:id="58"/>
      <w:r>
        <w:rPr>
          <w:rFonts w:ascii="Arial" w:cs="Arial" w:eastAsia="Arial" w:hAnsi="Arial"/>
          <w:b/>
          <w:bCs/>
          <w:color w:val="1F3864"/>
          <w:sz w:val="32"/>
          <w:szCs w:val="32"/>
        </w:rPr>
        <w:t xml:space="preserve">15.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5_1" w:id="59"/>
      <w:r>
        <w:rPr>
          <w:rFonts w:ascii="Arial" w:cs="Arial" w:eastAsia="Arial" w:hAnsi="Arial"/>
          <w:b/>
          <w:bCs/>
          <w:color w:val="1F3864"/>
          <w:sz w:val="26"/>
          <w:szCs w:val="26"/>
        </w:rPr>
        <w:t xml:space="preserve">15.1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5_2" w:id="60"/>
      <w:r>
        <w:rPr>
          <w:rFonts w:ascii="Arial" w:cs="Arial" w:eastAsia="Arial" w:hAnsi="Arial"/>
          <w:b/>
          <w:bCs/>
          <w:color w:val="1F3864"/>
          <w:sz w:val="26"/>
          <w:szCs w:val="26"/>
        </w:rPr>
        <w:t xml:space="preserve">15.2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6" w:id="61"/>
      <w:r>
        <w:rPr>
          <w:rFonts w:ascii="Arial" w:cs="Arial" w:eastAsia="Arial" w:hAnsi="Arial"/>
          <w:b/>
          <w:bCs/>
          <w:color w:val="1F3864"/>
          <w:sz w:val="32"/>
          <w:szCs w:val="32"/>
        </w:rPr>
        <w:t xml:space="preserve">16.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6_1" w:id="62"/>
      <w:r>
        <w:rPr>
          <w:rFonts w:ascii="Arial" w:cs="Arial" w:eastAsia="Arial" w:hAnsi="Arial"/>
          <w:b/>
          <w:bCs/>
          <w:color w:val="1F3864"/>
          <w:sz w:val="26"/>
          <w:szCs w:val="26"/>
        </w:rPr>
        <w:t>16.1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6_2" w:id="63"/>
      <w:r>
        <w:rPr>
          <w:rFonts w:ascii="Arial" w:cs="Arial" w:eastAsia="Arial" w:hAnsi="Arial"/>
          <w:b/>
          <w:bCs/>
          <w:color w:val="1F3864"/>
          <w:sz w:val="26"/>
          <w:szCs w:val="26"/>
        </w:rPr>
        <w:t>16.2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6_3" w:id="64"/>
      <w:r>
        <w:rPr>
          <w:rFonts w:ascii="Arial" w:cs="Arial" w:eastAsia="Arial" w:hAnsi="Arial"/>
          <w:b/>
          <w:bCs/>
          <w:color w:val="1F3864"/>
          <w:sz w:val="26"/>
          <w:szCs w:val="26"/>
        </w:rPr>
        <w:t>16.3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16.5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6_4" w:id="65"/>
      <w:r>
        <w:rPr>
          <w:rFonts w:ascii="Arial" w:cs="Arial" w:eastAsia="Arial" w:hAnsi="Arial"/>
          <w:b/>
          <w:bCs/>
          <w:color w:val="1F3864"/>
          <w:sz w:val="26"/>
          <w:szCs w:val="26"/>
        </w:rPr>
        <w:t>16.4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6_5" w:id="66"/>
      <w:r>
        <w:rPr>
          <w:rFonts w:ascii="Arial" w:cs="Arial" w:eastAsia="Arial" w:hAnsi="Arial"/>
          <w:b/>
          <w:bCs/>
          <w:color w:val="1F3864"/>
          <w:sz w:val="26"/>
          <w:szCs w:val="26"/>
        </w:rPr>
        <w:t>16.5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13.5)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6_6" w:id="67"/>
      <w:r>
        <w:rPr>
          <w:rFonts w:ascii="Arial" w:cs="Arial" w:eastAsia="Arial" w:hAnsi="Arial"/>
          <w:b/>
          <w:bCs/>
          <w:color w:val="1F3864"/>
          <w:sz w:val="26"/>
          <w:szCs w:val="26"/>
        </w:rPr>
        <w:t>16.6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untick overlays (and each step of a white-box alteration) to reveal the original content beneath, comparing against the page as received</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13.3 / 13.4)</w:t>
      </w:r>
    </w:p>
    <w:p>
      <w:pPr>
        <w:spacing w:after="60" w:before="0"/>
      </w:pPr>
      <w:r>
        <w:t xml:space="preserve"/>
      </w:r>
    </w:p>
    <w:p>
      <w:pPr>
        <w:pStyle w:val="Heading2"/>
        <w:spacing w:after="80" w:before="240"/>
      </w:pPr>
      <w:bookmarkStart w:name="s16_7" w:id="68"/>
      <w:r>
        <w:rPr>
          <w:rFonts w:ascii="Arial" w:cs="Arial" w:eastAsia="Arial" w:hAnsi="Arial"/>
          <w:b/>
          <w:bCs/>
          <w:color w:val="1F3864"/>
          <w:sz w:val="26"/>
          <w:szCs w:val="26"/>
        </w:rPr>
        <w:t>16.7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spacing w:after="60" w:before="60"/>
      </w:pPr>
      <w:r>
        <w:rPr>
          <w:rFonts w:ascii="Arial" w:cs="Arial" w:eastAsia="Arial" w:hAnsi="Arial"/>
          <w:color w:val="000000"/>
          <w:sz w:val="22"/>
          <w:szCs w:val="22"/>
        </w:rPr>
        <w:t xml:space="preserve">Open Duplicate Submissions report: identify the same file submitted under different references, and different files submitted under the same name</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6_8" w:id="69"/>
      <w:r>
        <w:rPr>
          <w:rFonts w:ascii="Arial" w:cs="Arial" w:eastAsia="Arial" w:hAnsi="Arial"/>
          <w:b/>
          <w:bCs/>
          <w:color w:val="1F3864"/>
          <w:sz w:val="26"/>
          <w:szCs w:val="26"/>
        </w:rPr>
        <w:t>16.8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6_9" w:id="70"/>
      <w:r>
        <w:rPr>
          <w:rFonts w:ascii="Arial" w:cs="Arial" w:eastAsia="Arial" w:hAnsi="Arial"/>
          <w:b/>
          <w:bCs/>
          <w:color w:val="1F3864"/>
          <w:sz w:val="26"/>
          <w:szCs w:val="26"/>
        </w:rPr>
        <w:t>16.9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session log and case index as exhibits (the case index manifest lists the MD5 of every output)</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13</w:t>
      </w:r>
    </w:p>
    <w:p>
      <w:pPr>
        <w:spacing w:after="100" w:before="0"/>
      </w:pPr>
      <w:r>
        <w:t xml:space="preserve"/>
      </w:r>
    </w:p>
    <w:p>
      <w:r>
        <w:br w:type="page"/>
      </w:r>
    </w:p>
    <w:p>
      <w:pPr>
        <w:pStyle w:val="Heading1"/>
        <w:pBdr>
          <w:bottom w:val="single" w:color="2E75B6" w:sz="6" w:space="4"/>
        </w:pBdr>
        <w:spacing w:after="120" w:before="360"/>
      </w:pPr>
      <w:bookmarkStart w:name="s17" w:id="71"/>
      <w:r>
        <w:rPr>
          <w:rFonts w:ascii="Arial" w:cs="Arial" w:eastAsia="Arial" w:hAnsi="Arial"/>
          <w:b/>
          <w:bCs/>
          <w:color w:val="1F3864"/>
          <w:sz w:val="32"/>
          <w:szCs w:val="32"/>
        </w:rPr>
        <w:t xml:space="preserve">17.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7_1" w:id="72"/>
      <w:r>
        <w:rPr>
          <w:rFonts w:ascii="Arial" w:cs="Arial" w:eastAsia="Arial" w:hAnsi="Arial"/>
          <w:b/>
          <w:bCs/>
          <w:color w:val="1F3864"/>
          <w:sz w:val="26"/>
          <w:szCs w:val="26"/>
        </w:rPr>
        <w:t xml:space="preserve">17.1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7_2" w:id="73"/>
      <w:r>
        <w:rPr>
          <w:rFonts w:ascii="Arial" w:cs="Arial" w:eastAsia="Arial" w:hAnsi="Arial"/>
          <w:b/>
          <w:bCs/>
          <w:color w:val="1F3864"/>
          <w:sz w:val="26"/>
          <w:szCs w:val="26"/>
        </w:rPr>
        <w:t xml:space="preserve">17.2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v1.0.0 · build 2026-10-15 —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