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Arial" w:hAnsi="Arial"/>
          <w:b/>
          <w:color w:val="1B1B1B"/>
          <w:sz w:val="52"/>
        </w:rPr>
        <w:t>PDF FORENSICS SUITE v1.0.0</w:t>
      </w:r>
    </w:p>
    <w:p>
      <w:pPr>
        <w:spacing w:after="40" w:before="0"/>
      </w:pPr>
      <w:r>
        <w:rPr>
          <w:rFonts w:ascii="Arial" w:hAnsi="Arial"/>
          <w:b/>
          <w:color w:val="ED1C24"/>
          <w:sz w:val="36"/>
        </w:rPr>
        <w:t>Getting Started</w:t>
      </w:r>
    </w:p>
    <w:p>
      <w:pPr>
        <w:spacing w:after="40" w:before="0"/>
      </w:pPr>
      <w:r>
        <w:rPr>
          <w:rFonts w:ascii="Arial" w:hAnsi="Arial"/>
          <w:b w:val="0"/>
          <w:color w:val="5A5A5A"/>
          <w:sz w:val="26"/>
        </w:rPr>
        <w:t>Running an Analysis — Step-by-Step Guide</w:t>
      </w:r>
    </w:p>
    <w:p>
      <w:pPr>
        <w:spacing w:after="40" w:before="0"/>
      </w:pPr>
      <w:r>
        <w:rPr>
          <w:rFonts w:ascii="Arial" w:hAnsi="Arial"/>
          <w:b w:val="0"/>
          <w:color w:val="5A5A5A"/>
          <w:sz w:val="22"/>
        </w:rPr>
        <w:t>Plain-Language Guide</w:t>
      </w:r>
    </w:p>
    <w:p>
      <w:pPr>
        <w:spacing w:after="280" w:before="0"/>
      </w:pPr>
      <w:r>
        <w:rPr>
          <w:rFonts w:ascii="Arial" w:hAnsi="Arial"/>
          <w:b w:val="0"/>
          <w:color w:val="5A5A5A"/>
          <w:sz w:val="20"/>
        </w:rPr>
        <w:t>Released under the Apache License, Version 2.0</w:t>
      </w:r>
    </w:p>
    <w:p>
      <w:pPr>
        <w:spacing w:after="280" w:before="0"/>
      </w:pPr>
      <w:r>
        <w:rPr>
          <w:rFonts w:ascii="Arial" w:hAnsi="Arial"/>
          <w:b w:val="0"/>
          <w:color w:val="5A5A5A"/>
          <w:sz w:val="20"/>
        </w:rPr>
        <w:t>Document Date: October 9, 2026 · Applies to PDF Forensics Suite v1.0.0, build 2026-10-09</w:t>
      </w:r>
    </w:p>
    <w:p>
      <w:pPr>
        <w:pStyle w:val="Heading1"/>
      </w:pPr>
      <w:r>
        <w:t>1. About This Guide</w:t>
      </w:r>
    </w:p>
    <w:p>
      <w:pPr>
        <w:spacing w:after="160"/>
      </w:pPr>
      <w:r>
        <w:rPr>
          <w:rFonts w:ascii="Arial" w:hAnsi="Arial"/>
          <w:color w:val="1B1B1B"/>
          <w:sz w:val="22"/>
        </w:rPr>
        <w:t>This guide walks you through running an analysis with the PDF Forensics Suite, from launching the application to producing your first set of reports. It is intended for someone using the tool for the first time, and assumes no prior familiarity with the software.</w:t>
      </w:r>
    </w:p>
    <w:p>
      <w:pPr>
        <w:spacing w:after="160"/>
      </w:pPr>
      <w:r>
        <w:rPr>
          <w:rFonts w:ascii="Arial" w:hAnsi="Arial"/>
          <w:color w:val="1B1B1B"/>
          <w:sz w:val="22"/>
        </w:rPr>
        <w:t>The companion guides describe how to interpret the output: the Risk Scoring guides explain the score assigned to each image, the HTML Reports guides describe each report, and the Graph Reports guides cover the relationship graph. This guide is concerned only with operating the tool and what to expect while it runs.</w:t>
      </w:r>
    </w:p>
    <w:p>
      <w:pPr>
        <w:pStyle w:val="Heading1"/>
      </w:pPr>
      <w:r>
        <w:t>2. What the Tool Does</w:t>
      </w:r>
    </w:p>
    <w:p>
      <w:pPr>
        <w:spacing w:after="160"/>
      </w:pPr>
      <w:r>
        <w:rPr>
          <w:rFonts w:ascii="Arial" w:hAnsi="Arial"/>
          <w:color w:val="1B1B1B"/>
          <w:sz w:val="22"/>
        </w:rPr>
        <w:t>The PDF Forensics Suite examines one or more PDF documents for signs of manipulation — overlaid or hidden content, reused images, inconsistent fonts, anomalous metadata, incremental-update history, and more. It scores findings by risk and produces HTML reports, an interactive relationship graph, and an Excel triage spreadsheet.</w:t>
      </w:r>
    </w:p>
    <w:p>
      <w:pPr>
        <w:spacing w:after="160"/>
      </w:pPr>
      <w:r>
        <w:rPr>
          <w:rFonts w:ascii="Arial" w:hAnsi="Arial"/>
          <w:color w:val="1B1B1B"/>
          <w:sz w:val="22"/>
        </w:rPr>
        <w:t>Results are written to a SQLite database file (with a .db extension). Reports and graphs are generated from that database, so analysis always comes first, and reporting second.</w:t>
      </w:r>
    </w:p>
    <w:p>
      <w:pPr>
        <w:spacing w:after="160"/>
      </w:pPr>
      <w:r>
        <w:rPr>
          <w:rFonts w:ascii="Arial" w:hAnsi="Arial"/>
          <w:color w:val="1B1B1B"/>
          <w:sz w:val="22"/>
        </w:rPr>
        <w:t>The application can be operated two ways: a desktop graphical interface (the default), and a command line for scripted or batch use. This guide focuses on the graphical interface, with the equivalent command-line steps noted where helpful.</w:t>
      </w:r>
    </w:p>
    <w:p>
      <w:pPr>
        <w:pStyle w:val="Heading1"/>
      </w:pPr>
      <w:r>
        <w:t>3. Launching the Application</w:t>
      </w:r>
    </w:p>
    <w:p>
      <w:pPr>
        <w:spacing w:after="160"/>
      </w:pPr>
      <w:r>
        <w:rPr>
          <w:rFonts w:ascii="Arial" w:hAnsi="Arial"/>
          <w:color w:val="1B1B1B"/>
          <w:sz w:val="22"/>
        </w:rPr>
        <w:t>Start the application by running its launcher:</w:t>
      </w:r>
    </w:p>
    <w:p>
      <w:pPr>
        <w:spacing w:after="160"/>
      </w:pPr>
      <w:r>
        <w:rPr>
          <w:rFonts w:ascii="Arial" w:hAnsi="Arial"/>
          <w:color w:val="1B1B1B"/>
          <w:sz w:val="22"/>
        </w:rPr>
        <w:t>python pdf_forensics.py</w:t>
      </w:r>
    </w:p>
    <w:p>
      <w:pPr>
        <w:spacing w:after="160"/>
      </w:pPr>
      <w:r>
        <w:rPr>
          <w:rFonts w:ascii="Arial" w:hAnsi="Arial"/>
          <w:color w:val="1B1B1B"/>
          <w:sz w:val="22"/>
        </w:rPr>
        <w:t>The first time you run the application, you will be asked to read and acknowledge a short disclaimer before continuing. After that, you will be prompted to enter a case number. All output for the session — the database, reports, graphs, and the processing log — is organised under that case.</w:t>
      </w:r>
    </w:p>
    <w:p>
      <w:pPr>
        <w:spacing w:after="80" w:before="80"/>
      </w:pPr>
      <w:r>
        <w:rPr>
          <w:rFonts w:ascii="Arial" w:cs="Arial" w:eastAsia="Arial" w:hAnsi="Arial"/>
          <w:color w:val="000000"/>
          <w:sz w:val="22"/>
          <w:szCs w:val="22"/>
        </w:rPr>
        <w:t xml:space="preserve">Your acknowledgement is saved in your Windows user profile, in a settings file named .pdf_forensics_config.json in your user folder, together with the date and time, your Windows user name, the computer, and which version of the disclaimer you acknowledged. The disclaimer therefore appears once for each user account on a computer, not at every launch, and is shown again only if its wording changes. Every session log records the acknowledgement on file. The full disclaimer remains available at any time under Help → About.</w:t>
      </w:r>
    </w:p>
    <w:p>
      <w:pPr>
        <w:spacing w:after="160"/>
      </w:pPr>
      <w:r>
        <w:rPr>
          <w:rFonts w:ascii="Arial" w:hAnsi="Arial"/>
          <w:color w:val="1B1B1B"/>
          <w:sz w:val="22"/>
        </w:rPr>
        <w:t>From the main menu you can choose one of three modules: PDF Forensics Analysis, Graph Analysis, and Forensic Reports. To analyse documents, begin with PDF Forensics Analysis.</w:t>
      </w:r>
    </w:p>
    <w:p>
      <w:pPr>
        <w:pStyle w:val="Heading1"/>
      </w:pPr>
      <w:r>
        <w:t>4. Running an Analysis</w:t>
      </w:r>
    </w:p>
    <w:p>
      <w:pPr>
        <w:spacing w:after="160"/>
      </w:pPr>
      <w:r>
        <w:rPr>
          <w:rFonts w:ascii="Arial" w:hAnsi="Arial"/>
          <w:color w:val="1B1B1B"/>
          <w:sz w:val="22"/>
        </w:rPr>
        <w:t>In the PDF Forensics Analysis screen:</w:t>
      </w:r>
    </w:p>
    <w:p>
      <w:pPr>
        <w:pStyle w:val="ListNumber"/>
      </w:pPr>
      <w:r>
        <w:rPr>
          <w:rFonts w:ascii="Arial" w:hAnsi="Arial"/>
          <w:color w:val="1B1B1B"/>
          <w:sz w:val="22"/>
        </w:rPr>
        <w:t>Add the PDFs to examine. Use “Add files” to choose individual PDFs, “Add folder” to add every PDF in a folder (you will be asked whether to include subfolders), or “From list” to add the PDFs named in a text file.</w:t>
      </w:r>
    </w:p>
    <w:p>
      <w:pPr>
        <w:spacing w:after="80" w:before="80"/>
      </w:pPr>
      <w:r>
        <w:rPr>
          <w:rFonts w:ascii="Arial" w:cs="Arial" w:eastAsia="Arial" w:hAnsi="Arial"/>
          <w:color w:val="000000"/>
          <w:sz w:val="22"/>
          <w:szCs w:val="22"/>
        </w:rPr>
        <w:t xml:space="preserve">“From list” reads a plain text file with one full path per line, for example: D:\Cases\2026-EXAMPLE\Source\[001.1] Example Bank Letter.pdf. Paths may be wrapped in quotation marks (as File Explorer’s “Copy as path” produces), and a line copied from several spreadsheet cells is fine: the cell holding an existing file is used. The file can be saved in any common text encoding, so paths with accented characters are read correctly. Blank lines and lines starting with # are ignored, and a file listed twice is added once. Any path that cannot be found is shown by name when the list is loaded and recorded in the session log, together with the list file’s name and MD5, so the selection that went into the analysis can be reproduced.</w:t>
      </w:r>
    </w:p>
    <w:p>
      <w:pPr>
        <w:spacing w:after="80" w:before="80"/>
      </w:pPr>
      <w:r>
        <w:rPr>
          <w:rFonts w:ascii="Arial" w:cs="Arial" w:eastAsia="Arial" w:hAnsi="Arial"/>
          <w:color w:val="000000"/>
          <w:sz w:val="22"/>
          <w:szCs w:val="22"/>
        </w:rPr>
        <w:t xml:space="preserve">This is the usual way to work through a large volume of PDFs selectively. Run Triage on everything first, review the triage spreadsheet, and copy the Path column for the documents that warrant full analysis into a text file (Notepad is fine). Then load that file with “From list” and run the analysis. Copy the Path column rather than the Filename column, because the list needs the full path to each file. Prior-version rows in the triage spreadsheet carry their parent document’s path, so copying them as well does no harm: the duplicates are ignored.</w:t>
      </w:r>
    </w:p>
    <w:p>
      <w:pPr>
        <w:pStyle w:val="ListNumber"/>
      </w:pPr>
      <w:r>
        <w:rPr>
          <w:rFonts w:ascii="Arial" w:hAnsi="Arial"/>
          <w:color w:val="1B1B1B"/>
          <w:sz w:val="22"/>
        </w:rPr>
        <w:t>Confirm the output folder. This is where the database and the extracted-image folders are written. Changing the case number at any point will prompt you to choose a fresh output folder.</w:t>
      </w:r>
    </w:p>
    <w:p>
      <w:pPr>
        <w:pStyle w:val="ListNumber"/>
      </w:pPr>
      <w:r>
        <w:rPr>
          <w:rFonts w:ascii="Arial" w:hAnsi="Arial"/>
          <w:color w:val="1B1B1B"/>
          <w:sz w:val="22"/>
        </w:rPr>
        <w:t>Review the options. “Store extracted images in database” keeps image thumbnails for the reports and graph; “Extract and process prior PDF versions” analyses earlier saved versions when a document contains incremental updates; “Skip PDFs already in the database” avoids re-analysing files on a repeat run.</w:t>
      </w:r>
    </w:p>
    <w:p>
      <w:pPr>
        <w:spacing w:after="80" w:before="80"/>
      </w:pPr>
      <w:r>
        <w:rPr>
          <w:rFonts w:ascii="Arial" w:cs="Arial" w:eastAsia="Arial" w:hAnsi="Arial"/>
          <w:color w:val="000000"/>
          <w:sz w:val="22"/>
          <w:szCs w:val="22"/>
        </w:rPr>
        <w:t xml:space="preserve">“Skip PDFs already in the database” compares each file’s content (its MD5 hash), not its name, so it also catches identical copies within the same batch, for example the same bank letter filed under several exhibit numbers. Only the first copy is analysed. Each later copy is listed in the log as an identical copy of the file it matches, counted under Copies, and recorded in the database, so no submitted file goes unaccounted for. The Duplicate Submissions report lists them.</w:t>
      </w:r>
    </w:p>
    <w:p>
      <w:pPr>
        <w:pStyle w:val="ListNumber"/>
      </w:pPr>
      <w:r>
        <w:rPr>
          <w:rFonts w:ascii="Arial" w:hAnsi="Arial"/>
          <w:color w:val="1B1B1B"/>
          <w:sz w:val="22"/>
        </w:rPr>
        <w:t>Click Run analysis. Progress is shown by a progress bar and a status line indicating which file (and page) is being processed, alongside the scrolling processing log.</w:t>
      </w:r>
    </w:p>
    <w:p>
      <w:pPr>
        <w:spacing w:after="80" w:before="80"/>
      </w:pPr>
      <w:r>
        <w:rPr>
          <w:rFonts w:ascii="Arial" w:cs="Arial" w:eastAsia="Arial" w:hAnsi="Arial"/>
          <w:color w:val="000000"/>
          <w:sz w:val="22"/>
          <w:szCs w:val="22"/>
        </w:rPr>
        <w:t xml:space="preserve">When the run finishes, a summary accounts for every file you submitted, for example: “12 submitted: 6 analysed, 6 skipped as identical copies of files already analysed, 0 failed; plus 4 prior versions extracted and analysed.” The counters above the log show the same figures (Processed, Failed, Copies, Images), and the summary is written to the session log. If a file fails, the reason is shown in the log.</w:t>
      </w:r>
    </w:p>
    <w:p>
      <w:pPr>
        <w:spacing w:after="160"/>
      </w:pPr>
      <w:r>
        <w:rPr>
          <w:rFonts w:ascii="Arial" w:hAnsi="Arial"/>
          <w:color w:val="1B1B1B"/>
          <w:sz w:val="22"/>
        </w:rPr>
        <w:t>If you only need a fast overview of a large set of documents rather than a full examination, enable Triage mode, which writes a summary Excel spreadsheet instead of running the complete analysis. The triage spreadsheet has a pdf-triage overview sheet and a pdf-metadata sheet; when a document contains incremental updates, each prior version’s metadata is included as its own row, labelled in a Source column (“Current” or “Prior v1”, “Prior v2”, and so on), so the metadata of earlier saved versions can be compared against the current one without running a full analysis.</w:t>
      </w:r>
    </w:p>
    <w:tbl>
      <w:tblPr>
        <w:tblW w:type="auto" w:w="0"/>
        <w:tblLayout w:type="autofit"/>
        <w:tblLook w:firstColumn="1" w:firstRow="1" w:lastColumn="0" w:lastRow="0" w:noHBand="0" w:noVBand="1" w:val="04A0"/>
      </w:tblPr>
      <w:tblGrid>
        <w:gridCol w:w="9360"/>
      </w:tblGrid>
      <w:tr>
        <w:tc>
          <w:tcPr>
            <w:tcW w:type="dxa" w:w="9360"/>
            <w:shd w:val="clear" w:color="auto" w:fill="FBE9C8"/>
            <w:tcBorders>
              <w:top w:val="single" w:sz="12" w:space="0" w:color="E0A93B"/>
              <w:left w:val="single" w:sz="12" w:space="0" w:color="E0A93B"/>
              <w:bottom w:val="single" w:sz="12" w:space="0" w:color="E0A93B"/>
              <w:right w:val="single" w:sz="12" w:space="0" w:color="E0A93B"/>
            </w:tcBorders>
          </w:tcPr>
          <w:p>
            <w:pPr>
              <w:spacing w:after="60"/>
            </w:pPr>
            <w:r/>
            <w:r>
              <w:rPr>
                <w:rFonts w:ascii="Arial" w:hAnsi="Arial"/>
                <w:b/>
                <w:color w:val="8A5A00"/>
                <w:sz w:val="22"/>
              </w:rPr>
              <w:t>Note: Processing time on large, image-heavy, or multi-version PDFs</w:t>
            </w:r>
          </w:p>
          <w:p>
            <w:pPr>
              <w:spacing w:after="40"/>
            </w:pPr>
            <w:r>
              <w:rPr>
                <w:rFonts w:ascii="Arial" w:hAnsi="Arial"/>
                <w:color w:val="4A3610"/>
                <w:sz w:val="21"/>
              </w:rPr>
              <w:t>PDFs with many pages, with many images per page, or that contain a large number of prior (incremental) versions take longer to process. During a long run the application may appear to have stalled or “hung” — the window may stop updating while a large file is worked through.</w:t>
            </w:r>
          </w:p>
          <w:p>
            <w:pPr>
              <w:spacing w:after="40"/>
            </w:pPr>
            <w:r>
              <w:rPr>
                <w:rFonts w:ascii="Arial" w:hAnsi="Arial"/>
                <w:color w:val="4A3610"/>
                <w:sz w:val="21"/>
              </w:rPr>
              <w:t>Prior versions add to this in particular: when “Extract and process prior PDF versions” is enabled, each earlier saved version recovered from a document is analysed in turn, almost as if it were an additional document. A file with many prior versions can therefore take several times longer than its page or image count alone would suggest.</w:t>
            </w:r>
          </w:p>
          <w:p>
            <w:pPr>
              <w:spacing w:after="40"/>
            </w:pPr>
            <w:r>
              <w:rPr>
                <w:rFonts w:ascii="Arial" w:hAnsi="Arial"/>
                <w:color w:val="4A3610"/>
                <w:sz w:val="21"/>
              </w:rPr>
              <w:t>It has not frozen. To confirm that processing is still progressing, check the size of the case output folder — in Windows, right-click the folder and choose Properties to see its total size. Note that the SQLite database (.db) file is often finished before the run is complete, while extracted images (including those from prior versions) are still being written to the images folder; checking the whole case folder, rather than just the database file, gives a true picture. As long as the folder's total size is increasing, the run is proceeding normally and should be allowed to finish.</w:t>
            </w:r>
          </w:p>
          <w:p>
            <w:pPr>
              <w:spacing w:after="40"/>
            </w:pPr>
            <w:r>
              <w:rPr>
                <w:rFonts w:ascii="Arial" w:hAnsi="Arial"/>
                <w:color w:val="4A3610"/>
                <w:sz w:val="21"/>
              </w:rPr>
              <w:t>Please allow extra time when processing large volumes of PDFs, or documents with many prior versions, and avoid closing the application or ending the process while the case folder continues to grow.</w:t>
            </w:r>
          </w:p>
        </w:tc>
      </w:tr>
    </w:tbl>
    <w:p>
      <w:pPr>
        <w:spacing w:after="120"/>
      </w:pPr>
    </w:p>
    <w:p>
      <w:pPr>
        <w:pStyle w:val="Heading1"/>
      </w:pPr>
      <w:r>
        <w:t>5. After Analysis: Reports and Graphs</w:t>
      </w:r>
    </w:p>
    <w:p>
      <w:pPr>
        <w:spacing w:after="160"/>
      </w:pPr>
      <w:r>
        <w:rPr>
          <w:rFonts w:ascii="Arial" w:hAnsi="Arial"/>
          <w:color w:val="1B1B1B"/>
          <w:sz w:val="22"/>
        </w:rPr>
        <w:t>When the analysis finishes, the database is complete and you can produce output from it:</w:t>
      </w:r>
    </w:p>
    <w:p>
      <w:pPr>
        <w:spacing w:after="80" w:before="80"/>
      </w:pPr>
      <w:r>
        <w:rPr>
          <w:rFonts w:ascii="Arial" w:cs="Arial" w:eastAsia="Arial" w:hAnsi="Arial"/>
          <w:color w:val="000000"/>
          <w:sz w:val="22"/>
          <w:szCs w:val="22"/>
        </w:rPr>
        <w:t xml:space="preserve">Start with the case index: the file named after your case and ending in _index.html, in the main results folder. It links to every report, graph, spreadsheet, extracted image, prior version and log for the case, shows how each submitted file was handled, and is updated automatically after every analysis, triage, report or graph run. Browsers cannot open Excel files directly, so for spreadsheets the index offers Copy path: paste the path into Win+R or the File Explorer address bar and press Enter.</w:t>
      </w:r>
    </w:p>
    <w:p>
      <w:pPr>
        <w:pStyle w:val="ListBullet"/>
      </w:pPr>
      <w:r>
        <w:rPr>
          <w:rFonts w:ascii="Arial" w:hAnsi="Arial"/>
          <w:color w:val="1B1B1B"/>
          <w:sz w:val="22"/>
        </w:rPr>
        <w:t>Forensic Reports — select a database, choose the reports you want (they are grouped by theme and selected by default), and generate a set of HTML reports. Hovering over any report shows a brief description of what it covers. The visual overlay report can also be generated on its own, without selecting any of the standard reports. It shows each page with its overlays as layers you can switch on and off, so you can see the document as received, the original underneath, and every step in between. Each report run also writes a Document Risk Overview spreadsheet listing every document with its risk score.</w:t>
      </w:r>
    </w:p>
    <w:p>
      <w:pPr>
        <w:pStyle w:val="ListBullet"/>
      </w:pPr>
      <w:r>
        <w:rPr>
          <w:rFonts w:ascii="Arial" w:hAnsi="Arial"/>
          <w:color w:val="1B1B1B"/>
          <w:sz w:val="22"/>
        </w:rPr>
        <w:t>Graph Analysis — generate an interactive graph of image reuse within and across documents, useful for spotting a shared stamp, signature, or template.</w:t>
      </w:r>
    </w:p>
    <w:p>
      <w:pPr>
        <w:spacing w:after="160"/>
      </w:pPr>
      <w:r>
        <w:rPr>
          <w:rFonts w:ascii="Arial" w:hAnsi="Arial"/>
          <w:color w:val="1B1B1B"/>
          <w:sz w:val="22"/>
        </w:rPr>
        <w:t>Both reading the reports and interpreting the graph are covered in the companion guides.</w:t>
      </w:r>
    </w:p>
    <w:p>
      <w:pPr>
        <w:pStyle w:val="Heading1"/>
      </w:pPr>
      <w:r>
        <w:t>6. Command-Line Equivalent (Optional)</w:t>
      </w:r>
    </w:p>
    <w:p>
      <w:pPr>
        <w:spacing w:after="160"/>
      </w:pPr>
      <w:r>
        <w:rPr>
          <w:rFonts w:ascii="Arial" w:hAnsi="Arial"/>
          <w:color w:val="1B1B1B"/>
          <w:sz w:val="22"/>
        </w:rPr>
        <w:t>The same workflow is available from the command line for scripted or batch use. The principal subcommands are:</w:t>
      </w:r>
    </w:p>
    <w:p>
      <w:pPr>
        <w:pStyle w:val="ListBullet"/>
      </w:pPr>
      <w:r>
        <w:rPr>
          <w:rFonts w:ascii="Arial" w:hAnsi="Arial"/>
          <w:color w:val="1B1B1B"/>
          <w:sz w:val="22"/>
        </w:rPr>
        <w:t>analyze — analyse one or more PDFs into a case database.</w:t>
      </w:r>
    </w:p>
    <w:p>
      <w:pPr>
        <w:pStyle w:val="ListBullet"/>
      </w:pPr>
      <w:r>
        <w:rPr>
          <w:rFonts w:ascii="Arial" w:hAnsi="Arial"/>
          <w:color w:val="1B1B1B"/>
          <w:sz w:val="22"/>
        </w:rPr>
        <w:t>triage — quickly scan PDFs into an Excel summary spreadsheet. Both analyze and triage accept -l (or --pdf-list) followed by a text file of paths in the same format as “From list”.</w:t>
      </w:r>
    </w:p>
    <w:p>
      <w:pPr>
        <w:pStyle w:val="ListBullet"/>
      </w:pPr>
      <w:r>
        <w:rPr>
          <w:rFonts w:ascii="Arial" w:hAnsi="Arial"/>
          <w:color w:val="1B1B1B"/>
          <w:sz w:val="22"/>
        </w:rPr>
        <w:t>report — generate HTML reports from a database (use --list to see the available report IDs).</w:t>
      </w:r>
    </w:p>
    <w:p>
      <w:pPr>
        <w:pStyle w:val="ListBullet"/>
      </w:pPr>
      <w:r>
        <w:rPr>
          <w:rFonts w:ascii="Arial" w:hAnsi="Arial"/>
          <w:color w:val="1B1B1B"/>
          <w:sz w:val="22"/>
        </w:rPr>
        <w:t>graph — build the interactive relationship graph from a database.</w:t>
      </w:r>
    </w:p>
    <w:p>
      <w:pPr>
        <w:spacing w:after="160"/>
      </w:pPr>
      <w:r>
        <w:rPr>
          <w:rFonts w:ascii="Arial" w:hAnsi="Arial"/>
          <w:color w:val="1B1B1B"/>
          <w:sz w:val="22"/>
        </w:rPr>
        <w:t>Run the launcher with -h (for example, python pdf_forensics.py analyze -h) to see the full set of options for each subcommand. The same processing-time considerations described above apply to command-line runs.</w:t>
      </w:r>
    </w:p>
    <w:p>
      <w:pPr>
        <w:pStyle w:val="Heading1"/>
      </w:pPr>
      <w:r>
        <w:t>7. A Note on Verification</w:t>
      </w:r>
    </w:p>
    <w:p>
      <w:pPr>
        <w:spacing w:after="160"/>
      </w:pPr>
      <w:r>
        <w:rPr>
          <w:rFonts w:ascii="Arial" w:hAnsi="Arial"/>
          <w:color w:val="1B1B1B"/>
          <w:sz w:val="22"/>
        </w:rPr>
        <w:t>The PDF Forensics Suite is designed to assist a qualified examiner, not to replace their judgment. Every finding it produces should be treated as a lead for further investigation, not a conclusion, and should be independently verified using a second method before being relied upon in any report, examination, or proceeding. The full disclaimer is available in the application under Help → About.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B1B1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