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color w:val="1B1B1B"/>
          <w:sz w:val="52"/>
        </w:rPr>
        <w:t>PDF FORENSICS SUITE v1.1.2</w:t>
      </w:r>
    </w:p>
    <w:p>
      <w:pPr>
        <w:spacing w:after="40" w:before="0"/>
      </w:pPr>
      <w:r>
        <w:rPr>
          <w:rFonts w:ascii="Arial" w:hAnsi="Arial"/>
          <w:b/>
          <w:color w:val="ED1C24"/>
          <w:sz w:val="36"/>
        </w:rPr>
        <w:t>Getting Started</w:t>
      </w:r>
    </w:p>
    <w:p>
      <w:pPr>
        <w:spacing w:after="40" w:before="0"/>
      </w:pPr>
      <w:r>
        <w:rPr>
          <w:rFonts w:ascii="Arial" w:hAnsi="Arial"/>
          <w:b w:val="0"/>
          <w:color w:val="5A5A5A"/>
          <w:sz w:val="26"/>
        </w:rPr>
        <w:t>Running an Analysis — Step-by-Step Guide</w:t>
      </w:r>
    </w:p>
    <w:p>
      <w:pPr>
        <w:spacing w:after="40" w:before="0"/>
      </w:pPr>
      <w:r>
        <w:rPr>
          <w:rFonts w:ascii="Arial" w:hAnsi="Arial"/>
          <w:b w:val="0"/>
          <w:color w:val="5A5A5A"/>
          <w:sz w:val="22"/>
        </w:rPr>
        <w:t>Plain-Language Guide</w:t>
      </w:r>
    </w:p>
    <w:p>
      <w:pPr>
        <w:spacing w:after="280" w:before="0"/>
      </w:pPr>
      <w:r>
        <w:rPr>
          <w:rFonts w:ascii="Arial" w:hAnsi="Arial"/>
          <w:b w:val="0"/>
          <w:color w:val="5A5A5A"/>
          <w:sz w:val="20"/>
        </w:rPr>
        <w:t>Released under the Apache License, Version 2.0</w:t>
      </w:r>
    </w:p>
    <w:p>
      <w:pPr>
        <w:spacing w:after="280" w:before="0"/>
      </w:pPr>
      <w:r>
        <w:rPr>
          <w:rFonts w:ascii="Arial" w:hAnsi="Arial"/>
          <w:b w:val="0"/>
          <w:color w:val="5A5A5A"/>
          <w:sz w:val="20"/>
        </w:rPr>
        <w:t>Document Date: October 22, 2026 · Applies to PDF Forensics Suite v1.1.2, build 2026-10-22e</w:t>
      </w:r>
    </w:p>
    <w:p>
      <w:pPr>
        <w:pStyle w:val="Heading1"/>
      </w:pPr>
      <w:r>
        <w:t>1. About This Guide</w:t>
      </w:r>
    </w:p>
    <w:p>
      <w:pPr>
        <w:spacing w:after="160"/>
      </w:pPr>
      <w:r>
        <w:rPr>
          <w:rFonts w:ascii="Arial" w:hAnsi="Arial"/>
          <w:color w:val="1B1B1B"/>
          <w:sz w:val="22"/>
        </w:rPr>
        <w:t>This guide walks you through running an analysis with the PDF Forensics Suite, from launching the application to producing your first set of reports. It is intended for someone using the tool for the first time, and assumes no prior familiarity with the software.</w:t>
      </w:r>
    </w:p>
    <w:p>
      <w:pPr>
        <w:spacing w:after="160"/>
      </w:pPr>
      <w:r>
        <w:rPr>
          <w:rFonts w:ascii="Arial" w:hAnsi="Arial"/>
          <w:color w:val="1B1B1B"/>
          <w:sz w:val="22"/>
        </w:rPr>
        <w:t>The companion guides describe how to interpret the output: the Risk Scoring guides explain the score assigned to each image, the HTML Reports guides describe each report, and the Graph Reports guides cover the relationship graph. This guide is concerned only with operating the tool and what to expect while it runs.</w:t>
      </w:r>
    </w:p>
    <w:p>
      <w:pPr>
        <w:pStyle w:val="Heading1"/>
      </w:pPr>
      <w:r>
        <w:t>2. What the Tool Does</w:t>
      </w:r>
    </w:p>
    <w:p>
      <w:pPr>
        <w:spacing w:after="160"/>
      </w:pPr>
      <w:r>
        <w:rPr>
          <w:rFonts w:ascii="Arial" w:hAnsi="Arial"/>
          <w:color w:val="1B1B1B"/>
          <w:sz w:val="22"/>
        </w:rPr>
        <w:t>The PDF Forensics Suite examines one or more PDF documents for signs of manipulation — overlaid or hidden content, reused images, inconsistent fonts, anomalous metadata, incremental-update history, and more. It scores findings by risk and produces HTML reports, an interactive relationship graph, and an Excel triage spreadsheet.</w:t>
      </w:r>
    </w:p>
    <w:p>
      <w:pPr>
        <w:spacing w:after="160"/>
      </w:pPr>
      <w:r>
        <w:rPr>
          <w:rFonts w:ascii="Arial" w:hAnsi="Arial"/>
          <w:color w:val="1B1B1B"/>
          <w:sz w:val="22"/>
        </w:rPr>
        <w:t>Results are written to a SQLite database file (with a .db extension). Reports and graphs are generated from that database, so analysis always comes first, and reporting second.</w:t>
      </w:r>
    </w:p>
    <w:p>
      <w:pPr>
        <w:spacing w:after="160"/>
      </w:pPr>
      <w:r>
        <w:rPr>
          <w:rFonts w:ascii="Arial" w:hAnsi="Arial"/>
          <w:color w:val="1B1B1B"/>
          <w:sz w:val="22"/>
        </w:rPr>
        <w:t>The application can be operated two ways: a desktop graphical interface (the default), and a command line for scripted or batch use. This guide focuses on the graphical interface, with the equivalent command-line steps noted where helpful.</w:t>
      </w:r>
    </w:p>
    <w:p>
      <w:pPr>
        <w:pStyle w:val="Heading1"/>
      </w:pPr>
      <w:r>
        <w:t>3. Launching the Application</w:t>
      </w:r>
    </w:p>
    <w:p>
      <w:pPr>
        <w:spacing w:after="160"/>
      </w:pPr>
      <w:r>
        <w:rPr>
          <w:rFonts w:ascii="Arial" w:hAnsi="Arial"/>
          <w:color w:val="1B1B1B"/>
          <w:sz w:val="22"/>
        </w:rPr>
        <w:t>Start the application by running its launcher:</w:t>
      </w:r>
    </w:p>
    <w:p>
      <w:pPr>
        <w:spacing w:after="160"/>
      </w:pPr>
      <w:r>
        <w:rPr>
          <w:rFonts w:ascii="Arial" w:hAnsi="Arial"/>
          <w:color w:val="1B1B1B"/>
          <w:sz w:val="22"/>
        </w:rPr>
        <w:t>python pdf_forensics.py</w:t>
      </w:r>
    </w:p>
    <w:p>
      <w:pPr>
        <w:spacing w:after="160"/>
      </w:pPr>
      <w:r>
        <w:rPr>
          <w:rFonts w:ascii="Arial" w:hAnsi="Arial"/>
          <w:color w:val="1B1B1B"/>
          <w:sz w:val="22"/>
        </w:rPr>
        <w:t>The first time you run the application, you will be asked to read and acknowledge a short disclaimer before continuing. After that, you will be prompted to enter a case number. All output for the session — the database, reports, graphs, and the processing log — is organised under that case.</w:t>
      </w:r>
    </w:p>
    <w:p>
      <w:pPr>
        <w:spacing w:after="80" w:before="80"/>
      </w:pPr>
      <w:r>
        <w:rPr>
          <w:rFonts w:ascii="Arial" w:cs="Arial" w:eastAsia="Arial" w:hAnsi="Arial"/>
          <w:color w:val="000000"/>
          <w:sz w:val="22"/>
          <w:szCs w:val="22"/>
        </w:rPr>
        <w:t xml:space="preserve">Your acknowledgement is saved in your Windows user profile, in a settings file named .pdf_forensics_config.json in your user folder, together with the date and time, your Windows user name, the computer, and which version of the disclaimer you acknowledged. The disclaimer therefore appears once for each user account on a computer, not at every launch, and is shown again only if its wording changes. Every session log records the acknowledgement on file. The full disclaimer remains available at any time under Help → About.</w:t>
      </w:r>
    </w:p>
    <w:p>
      <w:pPr>
        <w:spacing w:after="160"/>
      </w:pPr>
      <w:r>
        <w:rPr>
          <w:rFonts w:ascii="Arial" w:hAnsi="Arial"/>
          <w:color w:val="1B1B1B"/>
          <w:sz w:val="22"/>
        </w:rPr>
        <w:t>From the main menu you can choose one of three modules: PDF Forensics Analysis, Graph Analysis, and Forensic Reports. To analyse documents, begin with PDF Forensics Analysis.</w:t>
      </w:r>
    </w:p>
    <w:p>
      <w:pPr>
        <w:pStyle w:val="Heading1"/>
      </w:pPr>
      <w:r>
        <w:t>4. Running an Analysis</w:t>
      </w:r>
    </w:p>
    <w:p>
      <w:pPr>
        <w:spacing w:after="160"/>
      </w:pPr>
      <w:r>
        <w:rPr>
          <w:rFonts w:ascii="Arial" w:hAnsi="Arial"/>
          <w:color w:val="1B1B1B"/>
          <w:sz w:val="22"/>
        </w:rPr>
        <w:t>In the PDF Forensics Analysis screen:</w:t>
      </w:r>
    </w:p>
    <w:p>
      <w:pPr>
        <w:pStyle w:val="ListNumber"/>
      </w:pPr>
      <w:r>
        <w:rPr>
          <w:rFonts w:ascii="Arial" w:hAnsi="Arial"/>
          <w:color w:val="1B1B1B"/>
          <w:sz w:val="22"/>
        </w:rPr>
        <w:t>Add the PDFs to examine. Use “Add files” to choose individual PDFs, “Add folder” to add every PDF in a folder (you will be asked whether to include subfolders), or “From list” to add the PDFs named in a text file.</w:t>
      </w:r>
    </w:p>
    <w:p>
      <w:pPr>
        <w:spacing w:after="80" w:before="80"/>
      </w:pPr>
      <w:r>
        <w:rPr>
          <w:rFonts w:ascii="Arial" w:cs="Arial" w:eastAsia="Arial" w:hAnsi="Arial"/>
          <w:color w:val="000000"/>
          <w:sz w:val="22"/>
          <w:szCs w:val="22"/>
        </w:rPr>
        <w:t xml:space="preserve">“From list” reads a plain text file with one full path per line, for example: D:\Cases\2026-EXAMPLE\Source\[001.1] Example Bank Letter.pdf. Paths may be wrapped in quotation marks (as File Explorer’s “Copy as path” produces), and a line copied from several spreadsheet cells is fine: the cell holding an existing file is used. The file can be saved in any common text encoding, so paths with accented characters are read correctly. Blank lines and lines starting with # are ignored, and a file listed twice is added once. Any path that cannot be found is shown by name when the list is loaded and recorded in the session log, together with the list file’s name and MD5, so the selection that went into the analysis can be reproduced.</w:t>
      </w:r>
    </w:p>
    <w:p>
      <w:pPr>
        <w:spacing w:after="80" w:before="80"/>
      </w:pPr>
      <w:r>
        <w:rPr>
          <w:rFonts w:ascii="Arial" w:cs="Arial" w:eastAsia="Arial" w:hAnsi="Arial"/>
          <w:color w:val="000000"/>
          <w:sz w:val="22"/>
          <w:szCs w:val="22"/>
        </w:rPr>
        <w:t xml:space="preserve">This is the usual way to work through a large volume of PDFs selectively. Run Triage on everything first, review the triage spreadsheet, and copy the Path column for the documents that warrant full analysis into a text file (Notepad is fine). Then load that file with “From list” and run the analysis. Copy the Path column rather than the Filename column, because the list needs the full path to each file. Prior-version rows in the triage spreadsheet carry their parent document’s path, so copying them as well does no harm: the duplicates are ignored.</w:t>
      </w:r>
    </w:p>
    <w:p>
      <w:pPr>
        <w:spacing w:after="80" w:before="80"/>
      </w:pPr>
      <w:r>
        <w:rPr>
          <w:rFonts w:ascii="Arial" w:cs="Arial" w:eastAsia="Arial" w:hAnsi="Arial"/>
          <w:color w:val="000000"/>
          <w:sz w:val="22"/>
          <w:szCs w:val="22"/>
        </w:rPr>
        <w:t xml:space="preserve">Encrypted PDFs. If a document is protected by a password, the application tries to open it, in triage as well as analysis. A file that is encrypted only to set permissions opens by itself. For a file that needs a real password, use “Password list…” to select a text file of candidate passwords (ones you already hold), one per line; the application tries each in turn and stops at the first that works, and a password that works is tried first on the files that follow. Nothing is written to the file and the PDF is not modified. The Encrypted Files report lists every encrypted PDF, the password that opened it, or a note that none did. The report contains passwords, so handle it as carefully as the list itself.</w:t>
      </w:r>
    </w:p>
    <w:p>
      <w:pPr>
        <w:spacing w:after="80" w:before="80"/>
      </w:pPr>
      <w:r>
        <w:rPr>
          <w:rFonts w:ascii="Arial" w:cs="Arial" w:eastAsia="Arial" w:hAnsi="Arial"/>
          <w:color w:val="000000"/>
          <w:sz w:val="22"/>
          <w:szCs w:val="22"/>
        </w:rPr>
        <w:t xml:space="preserve">You do not have to choose a list before starting. If the run meets password-protected files and no list was supplied, or the list did not open them, the application sets those files aside and, at the end of the run, offers to try a password list on just those files. This keeps a large batch from stopping to wait for you partway through.</w:t>
      </w:r>
    </w:p>
    <w:p>
      <w:pPr>
        <w:pStyle w:val="ListNumber"/>
      </w:pPr>
      <w:r>
        <w:rPr>
          <w:rFonts w:ascii="Arial" w:hAnsi="Arial"/>
          <w:color w:val="1B1B1B"/>
          <w:sz w:val="22"/>
        </w:rPr>
        <w:t>Confirm the output folder. This is where the database and the extracted-image folders are written. Changing the case number at any point will prompt you to choose a fresh output folder.</w:t>
      </w:r>
    </w:p>
    <w:p>
      <w:pPr>
        <w:pStyle w:val="ListNumber"/>
      </w:pPr>
      <w:r>
        <w:rPr>
          <w:rFonts w:ascii="Arial" w:hAnsi="Arial"/>
          <w:color w:val="1B1B1B"/>
          <w:sz w:val="22"/>
        </w:rPr>
        <w:t>Review the options. “Store extracted images in database” keeps image thumbnails for the reports and graph; “Extract and process prior PDF versions” analyses earlier saved versions when a document contains incremental updates; “Skip PDFs already in the database” avoids re-analysing files on a repeat run.</w:t>
      </w:r>
    </w:p>
    <w:p>
      <w:pPr>
        <w:spacing w:after="80" w:before="80"/>
      </w:pPr>
      <w:r>
        <w:rPr>
          <w:rFonts w:ascii="Arial" w:cs="Arial" w:eastAsia="Arial" w:hAnsi="Arial"/>
          <w:color w:val="000000"/>
          <w:sz w:val="22"/>
          <w:szCs w:val="22"/>
        </w:rPr>
        <w:t xml:space="preserve">“Skip PDFs already in the database” compares each file’s content (its MD5 hash), not its name, so it also catches identical copies within the same batch, for example the same bank letter filed under several exhibit numbers. Only the first copy is analysed. Each later copy is listed in the log as an identical copy of the file it matches, counted under Copies, and recorded in the database, so no submitted file goes unaccounted for. The Duplicate Submissions report lists them.</w:t>
      </w:r>
    </w:p>
    <w:p>
      <w:pPr>
        <w:pStyle w:val="ListNumber"/>
      </w:pPr>
      <w:r>
        <w:rPr>
          <w:rFonts w:ascii="Arial" w:hAnsi="Arial"/>
          <w:color w:val="1B1B1B"/>
          <w:sz w:val="22"/>
        </w:rPr>
        <w:t>Click Run analysis. Progress is shown by a progress bar and a status line indicating which file (and page) is being processed, alongside the scrolling processing log.</w:t>
      </w:r>
    </w:p>
    <w:p>
      <w:pPr>
        <w:spacing w:after="80" w:before="80"/>
      </w:pPr>
      <w:r>
        <w:rPr>
          <w:rFonts w:ascii="Arial" w:cs="Arial" w:eastAsia="Arial" w:hAnsi="Arial"/>
          <w:color w:val="000000"/>
          <w:sz w:val="22"/>
          <w:szCs w:val="22"/>
        </w:rPr>
        <w:t xml:space="preserve">When the run finishes, a summary accounts for every file you submitted, for example: “12 submitted: 6 analysed, 6 skipped as identical copies of files already analysed, 0 failed; plus 4 prior versions extracted and analysed.” The counters above the log show the same figures (Processed, Failed, Copies, Images), and the summary is written to the session log. If a file fails, the reason is shown in the log.</w:t>
      </w:r>
    </w:p>
    <w:p>
      <w:pPr>
        <w:spacing w:after="160"/>
      </w:pPr>
      <w:r>
        <w:rPr>
          <w:rFonts w:ascii="Arial" w:hAnsi="Arial"/>
          <w:color w:val="1B1B1B"/>
          <w:sz w:val="22"/>
        </w:rPr>
        <w:t>If you only need a fast overview of a large set of documents rather than a full examination, enable Triage mode, which writes a summary Excel spreadsheet instead of running the complete analysis. The triage spreadsheet has a pdf-triage overview sheet and a pdf-metadata sheet; when a document contains incremental updates, each prior version’s metadata is included as its own row, labelled in a Source column (“Current” or “Prior v1”, “Prior v2”, and so on), so the metadata of earlier saved versions can be compared against the current one without running a full analysis.</w:t>
      </w:r>
    </w:p>
    <w:p>
      <w:pPr>
        <w:spacing w:after="80" w:before="80"/>
      </w:pPr>
      <w:r>
        <w:rPr>
          <w:rFonts w:ascii="Arial" w:cs="Arial" w:eastAsia="Arial" w:hAnsi="Arial"/>
          <w:color w:val="000000"/>
          <w:sz w:val="22"/>
          <w:szCs w:val="22"/>
        </w:rPr>
        <w:t xml:space="preserve">Not every %%EOF marker ends a saved version. In a linearized (“fast web view”) PDF the first %%EOF ends a small first-page section near the start of the file, and some markers end bytes that are not a usable PDF on their own. The application checks each one before treating it as a prior version: only genuine, usable earlier versions are listed, extracted and analysed, and the triage spreadsheet’s Prior-Version Check column explains any marker that was not treated as a version.</w:t>
      </w:r>
    </w:p>
    <w:tbl>
      <w:tblPr>
        <w:tblW w:type="auto" w:w="0"/>
        <w:tblLayout w:type="autofit"/>
        <w:tblLook w:firstColumn="1" w:firstRow="1" w:lastColumn="0" w:lastRow="0" w:noHBand="0" w:noVBand="1" w:val="04A0"/>
      </w:tblPr>
      <w:tblGrid>
        <w:gridCol w:w="9360"/>
      </w:tblGrid>
      <w:tr>
        <w:tc>
          <w:tcPr>
            <w:tcW w:type="dxa" w:w="9360"/>
            <w:shd w:val="clear" w:color="auto" w:fill="FBE9C8"/>
            <w:tcBorders>
              <w:top w:val="single" w:sz="12" w:space="0" w:color="E0A93B"/>
              <w:left w:val="single" w:sz="12" w:space="0" w:color="E0A93B"/>
              <w:bottom w:val="single" w:sz="12" w:space="0" w:color="E0A93B"/>
              <w:right w:val="single" w:sz="12" w:space="0" w:color="E0A93B"/>
            </w:tcBorders>
          </w:tcPr>
          <w:p>
            <w:pPr>
              <w:spacing w:after="60"/>
            </w:pPr>
            <w:r/>
            <w:r>
              <w:rPr>
                <w:rFonts w:ascii="Arial" w:hAnsi="Arial"/>
                <w:b/>
                <w:color w:val="8A5A00"/>
                <w:sz w:val="22"/>
              </w:rPr>
              <w:t>Note: Processing time on large, image-heavy, or multi-version PDFs</w:t>
            </w:r>
          </w:p>
          <w:p>
            <w:pPr>
              <w:spacing w:after="40"/>
            </w:pPr>
            <w:r>
              <w:rPr>
                <w:rFonts w:ascii="Arial" w:hAnsi="Arial"/>
                <w:color w:val="4A3610"/>
                <w:sz w:val="21"/>
              </w:rPr>
              <w:t>PDFs with many pages, with many images per page, or that contain a large number of prior (incremental) versions take longer to process. During a long run the application may appear to have stalled or “hung” — the window may stop updating while a large file is worked through.</w:t>
            </w:r>
          </w:p>
          <w:p>
            <w:pPr>
              <w:spacing w:after="40"/>
            </w:pPr>
            <w:r>
              <w:rPr>
                <w:rFonts w:ascii="Arial" w:hAnsi="Arial"/>
                <w:color w:val="4A3610"/>
                <w:sz w:val="21"/>
              </w:rPr>
              <w:t>Prior versions add to this in particular: when “Extract and process prior PDF versions” is enabled, each earlier saved version recovered from a document is analysed in turn, almost as if it were an additional document. A file with many prior versions can therefore take several times longer than its page or image count alone would suggest.</w:t>
            </w:r>
          </w:p>
          <w:p>
            <w:pPr>
              <w:spacing w:after="40"/>
            </w:pPr>
            <w:r>
              <w:rPr>
                <w:rFonts w:ascii="Arial" w:hAnsi="Arial"/>
                <w:color w:val="4A3610"/>
                <w:sz w:val="21"/>
              </w:rPr>
              <w:t>It has not frozen. To confirm that processing is still progressing, check the size of the case output folder — in Windows, right-click the folder and choose Properties to see its total size. Note that the SQLite database (.db) file is often finished before the run is complete, while extracted images (including those from prior versions) are still being written to the images folder; checking the whole case folder, rather than just the database file, gives a true picture. As long as the folder's total size is increasing, the run is proceeding normally and should be allowed to finish.</w:t>
            </w:r>
          </w:p>
          <w:p>
            <w:pPr>
              <w:spacing w:after="40"/>
            </w:pPr>
            <w:r>
              <w:rPr>
                <w:rFonts w:ascii="Arial" w:hAnsi="Arial"/>
                <w:color w:val="4A3610"/>
                <w:sz w:val="21"/>
              </w:rPr>
              <w:t>Please allow extra time when processing large volumes of PDFs, or documents with many prior versions, and avoid closing the application or ending the process while the case folder continues to grow.</w:t>
            </w:r>
          </w:p>
        </w:tc>
      </w:tr>
    </w:tbl>
    <w:p>
      <w:pPr>
        <w:spacing w:after="120"/>
      </w:pPr>
    </w:p>
    <w:p>
      <w:pPr>
        <w:pStyle w:val="Heading1"/>
      </w:pPr>
      <w:r>
        <w:t>5. After Analysis: Reports and Graphs</w:t>
      </w:r>
    </w:p>
    <w:p>
      <w:pPr>
        <w:spacing w:after="160"/>
      </w:pPr>
      <w:r>
        <w:rPr>
          <w:rFonts w:ascii="Arial" w:hAnsi="Arial"/>
          <w:color w:val="1B1B1B"/>
          <w:sz w:val="22"/>
        </w:rPr>
        <w:t>When the analysis finishes, the database is complete and you can produce output from it:</w:t>
      </w:r>
    </w:p>
    <w:p>
      <w:pPr>
        <w:spacing w:after="80" w:before="80"/>
      </w:pPr>
      <w:r>
        <w:rPr>
          <w:rFonts w:ascii="Arial" w:cs="Arial" w:eastAsia="Arial" w:hAnsi="Arial"/>
          <w:color w:val="000000"/>
          <w:sz w:val="22"/>
          <w:szCs w:val="22"/>
        </w:rPr>
        <w:t xml:space="preserve">Start with the case index: the file named after your case and ending in _index.html, in the main results folder. It links to every report, graph, spreadsheet, extracted image, prior version and log for the case, shows how each submitted file was handled, and is updated automatically after every analysis, triage, report or graph run. Browsers cannot open Excel files directly, so for spreadsheets the index offers Copy path: paste the path into Win+R or the File Explorer address bar and press Enter.</w:t>
      </w:r>
    </w:p>
    <w:p>
      <w:pPr>
        <w:pStyle w:val="ListBullet"/>
      </w:pPr>
      <w:r>
        <w:rPr>
          <w:rFonts w:ascii="Arial" w:hAnsi="Arial"/>
          <w:color w:val="1B1B1B"/>
          <w:sz w:val="22"/>
        </w:rPr>
        <w:t>Forensic Reports — select a database, choose the reports you want (they are grouped by theme and selected by default), and generate a set of HTML reports. Hovering over any report shows a brief description of what it covers. The visual overlay report can also be generated on its own, without selecting any of the standard reports. It shows each page with its overlays as layers you can switch on and off, so you can see the document as received, the original underneath, and every step in between. Each report run also writes a Document Risk Overview spreadsheet listing every document with its risk score.</w:t>
      </w:r>
    </w:p>
    <w:p>
      <w:pPr>
        <w:pStyle w:val="ListBullet"/>
      </w:pPr>
      <w:r>
        <w:rPr>
          <w:rFonts w:ascii="Arial" w:hAnsi="Arial"/>
          <w:color w:val="1B1B1B"/>
          <w:sz w:val="22"/>
        </w:rPr>
        <w:t>Graph Analysis — generate an interactive graph of image reuse within and across documents, useful for spotting a shared stamp, signature, or template.</w:t>
      </w:r>
    </w:p>
    <w:p>
      <w:pPr>
        <w:spacing w:after="160"/>
      </w:pPr>
      <w:r>
        <w:rPr>
          <w:rFonts w:ascii="Arial" w:hAnsi="Arial"/>
          <w:color w:val="1B1B1B"/>
          <w:sz w:val="22"/>
        </w:rPr>
        <w:t>Both reading the reports and interpreting the graph are covered in the companion guides.</w:t>
      </w:r>
    </w:p>
    <w:p>
      <w:pPr>
        <w:pStyle w:val="Heading1"/>
      </w:pPr>
      <w:r>
        <w:t>6. Command-Line Equivalent (Optional)</w:t>
      </w:r>
    </w:p>
    <w:p>
      <w:pPr>
        <w:spacing w:after="160"/>
      </w:pPr>
      <w:r>
        <w:rPr>
          <w:rFonts w:ascii="Arial" w:hAnsi="Arial"/>
          <w:color w:val="1B1B1B"/>
          <w:sz w:val="22"/>
        </w:rPr>
        <w:t>The same workflow is available from the command line for scripted or batch use. The principal subcommands are:</w:t>
      </w:r>
    </w:p>
    <w:p>
      <w:pPr>
        <w:pStyle w:val="ListBullet"/>
      </w:pPr>
      <w:r>
        <w:rPr>
          <w:rFonts w:ascii="Arial" w:hAnsi="Arial"/>
          <w:color w:val="1B1B1B"/>
          <w:sz w:val="22"/>
        </w:rPr>
        <w:t>analyze — analyse one or more PDFs into a case database.</w:t>
      </w:r>
    </w:p>
    <w:p>
      <w:pPr>
        <w:pStyle w:val="ListBullet"/>
      </w:pPr>
      <w:r>
        <w:rPr>
          <w:rFonts w:ascii="Arial" w:hAnsi="Arial"/>
          <w:color w:val="1B1B1B"/>
          <w:sz w:val="22"/>
        </w:rPr>
        <w:t>triage — quickly scan PDFs into an Excel summary spreadsheet. Both analyze and triage accept -l (or --pdf-list) followed by a text file of paths in the same format as “From list”.</w:t>
      </w:r>
    </w:p>
    <w:p>
      <w:pPr>
        <w:pStyle w:val="ListBullet"/>
      </w:pPr>
      <w:r>
        <w:rPr>
          <w:rFonts w:ascii="Arial" w:hAnsi="Arial"/>
          <w:color w:val="1B1B1B"/>
          <w:sz w:val="22"/>
        </w:rPr>
        <w:t>report — generate HTML reports from a database (use --list to see the available report IDs).</w:t>
      </w:r>
    </w:p>
    <w:p>
      <w:pPr>
        <w:pStyle w:val="ListBullet"/>
      </w:pPr>
      <w:r>
        <w:rPr>
          <w:rFonts w:ascii="Arial" w:hAnsi="Arial"/>
          <w:color w:val="1B1B1B"/>
          <w:sz w:val="22"/>
        </w:rPr>
        <w:t>graph — build the interactive relationship graph from a database.</w:t>
      </w:r>
    </w:p>
    <w:p>
      <w:pPr>
        <w:spacing w:after="160"/>
      </w:pPr>
      <w:r>
        <w:rPr>
          <w:rFonts w:ascii="Arial" w:hAnsi="Arial"/>
          <w:color w:val="1B1B1B"/>
          <w:sz w:val="22"/>
        </w:rPr>
        <w:t>Run the launcher with -h (for example, python pdf_forensics.py analyze -h) to see the full set of options for each subcommand. The same processing-time considerations described above apply to command-line runs.</w:t>
      </w:r>
    </w:p>
    <w:p>
      <w:pPr>
        <w:pStyle w:val="Heading1"/>
      </w:pPr>
      <w:r>
        <w:t>7. A Note on Verification</w:t>
      </w:r>
    </w:p>
    <w:p>
      <w:pPr>
        <w:spacing w:after="160"/>
      </w:pPr>
      <w:r>
        <w:rPr>
          <w:rFonts w:ascii="Arial" w:hAnsi="Arial"/>
          <w:color w:val="1B1B1B"/>
          <w:sz w:val="22"/>
        </w:rPr>
        <w:t>The PDF Forensics Suite is designed to assist a qualified examiner, not to replace their judgment. Every finding it produces should be treated as a lead for further investigation, not a conclusion, and should be independently verified using a second method before being relied upon in any report, examination, or proceeding. The full disclaimer is available in the application under Help → About.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B1B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