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v1.1.1</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v1.1.1, build 2026-10-22d</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v1.1.1.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pdf:PDFVersion) that does not exist; only 1.0 to 1.7 and 2.0 do. No conforming producer writes one, so it indicates a hand edit.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pdf:PDFVersion disagrees with the version in effect, or a later incremental update added, changed or removed it, or lowered the Catalog /Version: the trace a metadata tool such as ExifTool leaves. A Catalog /Version raised by an update is not counted.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in the document and its revisions are out of chronological order (see the Timeline Analysis report and the Technical Reference Guide, section 4.5). One finding per document however many issues. An Info ModDate before the Info CreationDate in the current revision alone does not produce it, being already scored as METADATA_DATE_ANOMALY.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2"/>
      </w:pPr>
      <w:r>
        <w:rPr>
          <w:rFonts w:ascii="Arial" w:cs="Arial" w:eastAsia="Arial" w:hAnsi="Arial"/>
        </w:rPr>
        <w:t xml:space="preserve">5.5  Timeline Events (schema revision 10)</w:t>
      </w:r>
    </w:p>
    <w:p>
      <w:pPr>
        <w:spacing w:after="80" w:before="80"/>
      </w:pPr>
      <w:r>
        <w:rPr>
          <w:rFonts w:ascii="Arial" w:cs="Arial" w:eastAsia="Arial" w:hAnsi="Arial"/>
          <w:color w:val="000000"/>
          <w:sz w:val="22"/>
          <w:szCs w:val="22"/>
        </w:rPr>
        <w:t xml:space="preserve">Every timestamp in a submitted document, in every revision, is recorded in the timeline_events table: one row per timestamp per revision (values unchanged from the revision before are repeated), with its revision, raw value, whether it carried a timezone, its UTC value, and whether it was flagged. A coverage row (status META, seq 0) records the revisions examined and any %%EOF markers that are not revisions. The Timeline Analysis report and spreadsheet read this table. A TIMELINE_INCONSISTENT finding is stored with the other findings when any row is flagged; the table itself does not affect any score. Prior versions analysed in their own right have no rows of their own: they are part of their submitted file's timeline.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timeline_events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analysis_id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seq INTEGER NOT NULL,  -- chronological order (unparseable last)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revisions TEXT,        -- e.g. "revision 2 to current"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category TEXT,         -- document, history, annotation, signature,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embedded file, photo EXIF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source TEXT, field TEXT, obj_ref TEXT, raw_value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timezone TEXT,         -- explicit / none (assumed UTC)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utc TEXT,              -- YYYY-MM-DD HH:MM:SS, UTC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status TEXT,           -- OK / FLAGGED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issue TEXT);</w:t>
      </w:r>
    </w:p>
    <w:p>
      <w:pPr>
        <w:spacing w:after="80" w:before="80"/>
      </w:pPr>
      <w:r>
        <w:rPr>
          <w:rFonts w:ascii="Arial" w:cs="Arial" w:eastAsia="Arial" w:hAnsi="Arial"/>
          <w:color w:val="000000"/>
          <w:sz w:val="22"/>
          <w:szCs w:val="22"/>
        </w:rPr>
        <w:t xml:space="preserve">The migration is additive and runs automatically when an older database is opened; documents analysed before version 1.1.0 have no timeline rows until re-analysed.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v1.1.1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v1.1.1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