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21, 2026 · Applies to PDF Forensics Suite v1.0.1, build 2026-10-21</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publicly available, and is where updates are published.</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9), writes, automatic migration, the submitted-files record and the encryption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Twenty-one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VERSION_ANACHRONISM,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max(header, Catalog /Version, XMP pdf:PDFVersion).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80" w:before="80"/>
      </w:pPr>
      <w:r>
        <w:rPr>
          <w:rFonts w:ascii="Arial" w:cs="Arial" w:eastAsia="Arial" w:hAnsi="Arial"/>
          <w:b/>
          <w:bCs/>
          <w:color w:val="000000"/>
          <w:sz w:val="22"/>
          <w:szCs w:val="22"/>
        </w:rPr>
        <w:t xml:space="preserve">Validation. </w:t>
      </w:r>
      <w:r>
        <w:rPr>
          <w:rFonts w:ascii="Arial" w:cs="Arial" w:eastAsia="Arial" w:hAnsi="Arial"/>
          <w:color w:val="000000"/>
          <w:sz w:val="22"/>
          <w:szCs w:val="22"/>
        </w:rPr>
        <w:t xml:space="preserve">Since build 2026-10-20 each candidate is validated before it is treated as a version. The bytes up to the marker must end with a startxref that points to a cross-reference section inside those bytes, and must open without recovery and contain at least one page. A linearized file’s first %%EOF, which ends the first-page section (often with startxref 0), is reported as “not a prior version” rather than extracted; any other marker whose bytes fail these checks is reported as “not a usable prior version” with the reason. A structurally valid version that needs a password is tried first with the password that opened the parent document, since a genuine earlier version of an encrypted file uses the same encryption. Previously every earlier %%EOF produced a version, so a linearized file yielded a fragment of a few hundred bytes that was not a PDF, and for an encrypted file was mis-reported as password-protected (metadata.classify_prior_versions).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v1.0.1 · build 2026-10-21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