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orange (#FFA500) border of width 3, rendered on top of the risk-tier fill colour. This provides a second visual dimension: a cross-document image with a HIGH risk score will show a red fill with an orange border.</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'#FFA500',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'#FFA500'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an orange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