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1.1</w:t>
      </w:r>
    </w:p>
    <w:p>
      <w:pPr>
        <w:spacing w:after="40" w:before="0"/>
        <w:jc w:val="center"/>
      </w:pPr>
      <w:r>
        <w:rPr>
          <w:rFonts w:ascii="Arial" w:cs="Arial" w:eastAsia="Arial" w:hAnsi="Arial"/>
          <w:color w:val="595959"/>
          <w:sz w:val="22"/>
          <w:szCs w:val="22"/>
        </w:rPr>
        <w:t xml:space="preserve">July 2026</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private during the beta review period and will be made public on official release.</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Risk Scoring Model</w:t>
            </w:r>
          </w:hyperlink>
        </w:p>
        <w:p>
          <w:pPr>
            <w:spacing w:before="0" w:after="80"/>
            <w:ind w:left="360"/>
          </w:pPr>
          <w:hyperlink w:anchor="s10_1">
            <w:r>
              <w:rPr>
                <w:rFonts w:ascii="Arial" w:hAnsi="Arial"/>
                <w:color w:val="2E5395"/>
                <w:sz w:val="20"/>
                <w:noProof/>
              </w:rPr>
              <w:t xml:space="preserve">10.1 Scoring Weights</w:t>
            </w:r>
          </w:hyperlink>
        </w:p>
        <w:p>
          <w:pPr>
            <w:spacing w:before="0" w:after="80"/>
            <w:ind w:left="360"/>
          </w:pPr>
          <w:hyperlink w:anchor="s10_2">
            <w:r>
              <w:rPr>
                <w:rFonts w:ascii="Arial" w:hAnsi="Arial"/>
                <w:color w:val="2E5395"/>
                <w:sz w:val="20"/>
                <w:noProof/>
              </w:rPr>
              <w:t xml:space="preserve">10.2 Score Interpretation</w:t>
            </w:r>
          </w:hyperlink>
        </w:p>
        <w:p>
          <w:pPr>
            <w:spacing w:before="0" w:after="120"/>
          </w:pPr>
          <w:hyperlink w:anchor="s11">
            <w:r>
              <w:rPr>
                <w:rFonts w:ascii="Arial" w:hAnsi="Arial"/>
                <w:b/>
                <w:color w:val="1F3864"/>
                <w:sz w:val="22"/>
                <w:noProof/>
              </w:rPr>
              <w:t xml:space="preserve">11. Known False Positive Catalogue</w:t>
            </w:r>
          </w:hyperlink>
        </w:p>
        <w:p>
          <w:pPr>
            <w:spacing w:before="0" w:after="120"/>
          </w:pPr>
          <w:hyperlink w:anchor="s12">
            <w:r>
              <w:rPr>
                <w:rFonts w:ascii="Arial" w:hAnsi="Arial"/>
                <w:b/>
                <w:color w:val="1F3864"/>
                <w:sz w:val="22"/>
                <w:noProof/>
              </w:rPr>
              <w:t xml:space="preserve">12. Counter-Verification Procedures</w:t>
            </w:r>
          </w:hyperlink>
        </w:p>
        <w:p>
          <w:pPr>
            <w:spacing w:before="0" w:after="80"/>
            <w:ind w:left="360"/>
          </w:pPr>
          <w:hyperlink w:anchor="s12_1">
            <w:r>
              <w:rPr>
                <w:rFonts w:ascii="Arial" w:hAnsi="Arial"/>
                <w:color w:val="2E5395"/>
                <w:sz w:val="20"/>
                <w:noProof/>
              </w:rPr>
              <w:t xml:space="preserve">12.1 Tool Reference</w:t>
            </w:r>
          </w:hyperlink>
        </w:p>
        <w:p>
          <w:pPr>
            <w:spacing w:before="0" w:after="80"/>
            <w:ind w:left="360"/>
          </w:pPr>
          <w:hyperlink w:anchor="s12_2">
            <w:r>
              <w:rPr>
                <w:rFonts w:ascii="Arial" w:hAnsi="Arial"/>
                <w:color w:val="2E5395"/>
                <w:sz w:val="20"/>
                <w:noProof/>
              </w:rPr>
              <w:t xml:space="preserve">12.2 Verifying BBOX_CROP (qpdf)</w:t>
            </w:r>
          </w:hyperlink>
        </w:p>
        <w:p>
          <w:pPr>
            <w:spacing w:before="0" w:after="80"/>
            <w:ind w:left="360"/>
          </w:pPr>
          <w:hyperlink w:anchor="s12_3">
            <w:r>
              <w:rPr>
                <w:rFonts w:ascii="Arial" w:hAnsi="Arial"/>
                <w:color w:val="2E5395"/>
                <w:sz w:val="20"/>
                <w:noProof/>
              </w:rPr>
              <w:t xml:space="preserve">12.3 Verifying TEXT_OVERLAY Annotation (peepdf3)</w:t>
            </w:r>
          </w:hyperlink>
        </w:p>
        <w:p>
          <w:pPr>
            <w:spacing w:before="0" w:after="80"/>
            <w:ind w:left="360"/>
          </w:pPr>
          <w:hyperlink w:anchor="s12_4">
            <w:r>
              <w:rPr>
                <w:rFonts w:ascii="Arial" w:hAnsi="Arial"/>
                <w:color w:val="2E5395"/>
                <w:sz w:val="20"/>
                <w:noProof/>
              </w:rPr>
              <w:t xml:space="preserve">12.4 Verifying Content-Stream Text Overlay (mutool)</w:t>
            </w:r>
          </w:hyperlink>
        </w:p>
        <w:p>
          <w:pPr>
            <w:spacing w:before="0" w:after="80"/>
            <w:ind w:left="360"/>
          </w:pPr>
          <w:hyperlink w:anchor="s12_5">
            <w:r>
              <w:rPr>
                <w:rFonts w:ascii="Arial" w:hAnsi="Arial"/>
                <w:color w:val="2E5395"/>
                <w:sz w:val="20"/>
                <w:noProof/>
              </w:rPr>
              <w:t xml:space="preserve">12.5 Extracting Hidden Images (mutool)</w:t>
            </w:r>
          </w:hyperlink>
        </w:p>
        <w:p>
          <w:pPr>
            <w:spacing w:before="0" w:after="80"/>
            <w:ind w:left="360"/>
          </w:pPr>
          <w:hyperlink w:anchor="s12_6">
            <w:r>
              <w:rPr>
                <w:rFonts w:ascii="Arial" w:hAnsi="Arial"/>
                <w:color w:val="2E5395"/>
                <w:sz w:val="20"/>
                <w:noProof/>
              </w:rPr>
              <w:t xml:space="preserve">12.6 Verifying Incremental Updates (hex editor)</w:t>
            </w:r>
          </w:hyperlink>
        </w:p>
        <w:p>
          <w:pPr>
            <w:spacing w:before="0" w:after="120"/>
          </w:pPr>
          <w:hyperlink w:anchor="s13">
            <w:r>
              <w:rPr>
                <w:rFonts w:ascii="Arial" w:hAnsi="Arial"/>
                <w:b/>
                <w:color w:val="1F3864"/>
                <w:sz w:val="22"/>
                <w:noProof/>
              </w:rPr>
              <w:t xml:space="preserve">13. Chain of Custody and Evidential Admissibility</w:t>
            </w:r>
          </w:hyperlink>
        </w:p>
        <w:p>
          <w:pPr>
            <w:spacing w:before="0" w:after="80"/>
            <w:ind w:left="360"/>
          </w:pPr>
          <w:hyperlink w:anchor="s13_1">
            <w:r>
              <w:rPr>
                <w:rFonts w:ascii="Arial" w:hAnsi="Arial"/>
                <w:color w:val="2E5395"/>
                <w:sz w:val="20"/>
                <w:noProof/>
              </w:rPr>
              <w:t xml:space="preserve">13.1 What the Application Records Automatically</w:t>
            </w:r>
          </w:hyperlink>
        </w:p>
        <w:p>
          <w:pPr>
            <w:spacing w:before="0" w:after="80"/>
            <w:ind w:left="360"/>
          </w:pPr>
          <w:hyperlink w:anchor="s13_2">
            <w:r>
              <w:rPr>
                <w:rFonts w:ascii="Arial" w:hAnsi="Arial"/>
                <w:color w:val="2E5395"/>
                <w:sz w:val="20"/>
                <w:noProof/>
              </w:rPr>
              <w:t xml:space="preserve">13.2 Examiner Responsibilities</w:t>
            </w:r>
          </w:hyperlink>
        </w:p>
        <w:p>
          <w:pPr>
            <w:spacing w:before="0" w:after="80"/>
            <w:ind w:left="360"/>
          </w:pPr>
          <w:hyperlink w:anchor="s13_3">
            <w:r>
              <w:rPr>
                <w:rFonts w:ascii="Arial" w:hAnsi="Arial"/>
                <w:color w:val="2E5395"/>
                <w:sz w:val="20"/>
                <w:noProof/>
              </w:rPr>
              <w:t xml:space="preserve">13.3 Report Admissibility Considerations</w:t>
            </w:r>
          </w:hyperlink>
        </w:p>
        <w:p>
          <w:pPr>
            <w:spacing w:before="0" w:after="120"/>
          </w:pPr>
          <w:hyperlink w:anchor="s14">
            <w:r>
              <w:rPr>
                <w:rFonts w:ascii="Arial" w:hAnsi="Arial"/>
                <w:b/>
                <w:color w:val="1F3864"/>
                <w:sz w:val="22"/>
                <w:noProof/>
              </w:rPr>
              <w:t xml:space="preserve">14. Limitations and Scope Boundaries</w:t>
            </w:r>
          </w:hyperlink>
        </w:p>
        <w:p>
          <w:pPr>
            <w:spacing w:before="0" w:after="80"/>
            <w:ind w:left="360"/>
          </w:pPr>
          <w:hyperlink w:anchor="s14_1">
            <w:r>
              <w:rPr>
                <w:rFonts w:ascii="Arial" w:hAnsi="Arial"/>
                <w:color w:val="2E5395"/>
                <w:sz w:val="20"/>
                <w:noProof/>
              </w:rPr>
              <w:t xml:space="preserve">14.1 What the Application Does Not Detect</w:t>
            </w:r>
          </w:hyperlink>
        </w:p>
        <w:p>
          <w:pPr>
            <w:spacing w:before="0" w:after="80"/>
            <w:ind w:left="360"/>
          </w:pPr>
          <w:hyperlink w:anchor="s14_2">
            <w:r>
              <w:rPr>
                <w:rFonts w:ascii="Arial" w:hAnsi="Arial"/>
                <w:color w:val="2E5395"/>
                <w:sz w:val="20"/>
                <w:noProof/>
              </w:rPr>
              <w:t xml:space="preserve">14.2 Known Library Constraints</w:t>
            </w:r>
          </w:hyperlink>
        </w:p>
        <w:p>
          <w:pPr>
            <w:spacing w:before="0" w:after="120"/>
          </w:pPr>
          <w:hyperlink w:anchor="s15">
            <w:r>
              <w:rPr>
                <w:rFonts w:ascii="Arial" w:hAnsi="Arial"/>
                <w:b/>
                <w:color w:val="1F3864"/>
                <w:sz w:val="22"/>
                <w:noProof/>
              </w:rPr>
              <w:t xml:space="preserve">15. Investigator Quick-Start Decision Tree</w:t>
            </w:r>
          </w:hyperlink>
        </w:p>
        <w:p>
          <w:pPr>
            <w:spacing w:before="0" w:after="80"/>
            <w:ind w:left="360"/>
          </w:pPr>
          <w:hyperlink w:anchor="s15_1">
            <w:r>
              <w:rPr>
                <w:rFonts w:ascii="Arial" w:hAnsi="Arial"/>
                <w:color w:val="2E5395"/>
                <w:sz w:val="20"/>
                <w:noProof/>
              </w:rPr>
              <w:t xml:space="preserve">15.1 Pre-Analysis: Hash and Record Source Files</w:t>
            </w:r>
          </w:hyperlink>
        </w:p>
        <w:p>
          <w:pPr>
            <w:spacing w:before="0" w:after="80"/>
            <w:ind w:left="360"/>
          </w:pPr>
          <w:hyperlink w:anchor="s15_2">
            <w:r>
              <w:rPr>
                <w:rFonts w:ascii="Arial" w:hAnsi="Arial"/>
                <w:color w:val="2E5395"/>
                <w:sz w:val="20"/>
                <w:noProof/>
              </w:rPr>
              <w:t xml:space="preserve">15.2 Run Analysis with Default Options</w:t>
            </w:r>
          </w:hyperlink>
        </w:p>
        <w:p>
          <w:pPr>
            <w:spacing w:before="0" w:after="80"/>
            <w:ind w:left="360"/>
          </w:pPr>
          <w:hyperlink w:anchor="s15_3">
            <w:r>
              <w:rPr>
                <w:rFonts w:ascii="Arial" w:hAnsi="Arial"/>
                <w:color w:val="2E5395"/>
                <w:sz w:val="20"/>
                <w:noProof/>
              </w:rPr>
              <w:t xml:space="preserve">15.3 Triage: Check for High-Risk Findings</w:t>
            </w:r>
          </w:hyperlink>
        </w:p>
        <w:p>
          <w:pPr>
            <w:spacing w:before="0" w:after="80"/>
            <w:ind w:left="360"/>
          </w:pPr>
          <w:hyperlink w:anchor="s15_4">
            <w:r>
              <w:rPr>
                <w:rFonts w:ascii="Arial" w:hAnsi="Arial"/>
                <w:color w:val="2E5395"/>
                <w:sz w:val="20"/>
                <w:noProof/>
              </w:rPr>
              <w:t xml:space="preserve">15.4 Metadata Review</w:t>
            </w:r>
          </w:hyperlink>
        </w:p>
        <w:p>
          <w:pPr>
            <w:spacing w:before="0" w:after="80"/>
            <w:ind w:left="360"/>
          </w:pPr>
          <w:hyperlink w:anchor="s15_5">
            <w:r>
              <w:rPr>
                <w:rFonts w:ascii="Arial" w:hAnsi="Arial"/>
                <w:color w:val="2E5395"/>
                <w:sz w:val="20"/>
                <w:noProof/>
              </w:rPr>
              <w:t xml:space="preserve">15.5 Image Manipulation Review</w:t>
            </w:r>
          </w:hyperlink>
        </w:p>
        <w:p>
          <w:pPr>
            <w:spacing w:before="0" w:after="80"/>
            <w:ind w:left="360"/>
          </w:pPr>
          <w:hyperlink w:anchor="s15_6">
            <w:r>
              <w:rPr>
                <w:rFonts w:ascii="Arial" w:hAnsi="Arial"/>
                <w:color w:val="2E5395"/>
                <w:sz w:val="20"/>
                <w:noProof/>
              </w:rPr>
              <w:t xml:space="preserve">15.6 Text Overlay Review</w:t>
            </w:r>
          </w:hyperlink>
        </w:p>
        <w:p>
          <w:pPr>
            <w:spacing w:before="0" w:after="80"/>
            <w:ind w:left="360"/>
          </w:pPr>
          <w:hyperlink w:anchor="s15_7">
            <w:r>
              <w:rPr>
                <w:rFonts w:ascii="Arial" w:hAnsi="Arial"/>
                <w:color w:val="2E5395"/>
                <w:sz w:val="20"/>
                <w:noProof/>
              </w:rPr>
              <w:t xml:space="preserve">15.7 Cross-Document Analysis</w:t>
            </w:r>
          </w:hyperlink>
        </w:p>
        <w:p>
          <w:pPr>
            <w:spacing w:before="0" w:after="80"/>
            <w:ind w:left="360"/>
          </w:pPr>
          <w:hyperlink w:anchor="s15_8">
            <w:r>
              <w:rPr>
                <w:rFonts w:ascii="Arial" w:hAnsi="Arial"/>
                <w:color w:val="2E5395"/>
                <w:sz w:val="20"/>
                <w:noProof/>
              </w:rPr>
              <w:t xml:space="preserve">15.8 EXIF and Comments Review</w:t>
            </w:r>
          </w:hyperlink>
        </w:p>
        <w:p>
          <w:pPr>
            <w:spacing w:before="0" w:after="80"/>
            <w:ind w:left="360"/>
          </w:pPr>
          <w:hyperlink w:anchor="s15_9">
            <w:r>
              <w:rPr>
                <w:rFonts w:ascii="Arial" w:hAnsi="Arial"/>
                <w:color w:val="2E5395"/>
                <w:sz w:val="20"/>
                <w:noProof/>
              </w:rPr>
              <w:t xml:space="preserve">15.9 Document Findings</w:t>
            </w:r>
          </w:hyperlink>
        </w:p>
        <w:p>
          <w:pPr>
            <w:spacing w:before="0" w:after="120"/>
          </w:pPr>
          <w:hyperlink w:anchor="s16">
            <w:r>
              <w:rPr>
                <w:rFonts w:ascii="Arial" w:hAnsi="Arial"/>
                <w:b/>
                <w:color w:val="1F3864"/>
                <w:sz w:val="22"/>
                <w:noProof/>
              </w:rPr>
              <w:t xml:space="preserve">16. SQLite Query Reference</w:t>
            </w:r>
          </w:hyperlink>
        </w:p>
        <w:p>
          <w:pPr>
            <w:spacing w:before="0" w:after="80"/>
            <w:ind w:left="360"/>
          </w:pPr>
          <w:hyperlink w:anchor="s16_1">
            <w:r>
              <w:rPr>
                <w:rFonts w:ascii="Arial" w:hAnsi="Arial"/>
                <w:color w:val="2E5395"/>
                <w:sz w:val="20"/>
                <w:noProof/>
              </w:rPr>
              <w:t xml:space="preserve">16.1 Schema Overview</w:t>
            </w:r>
          </w:hyperlink>
        </w:p>
        <w:p>
          <w:pPr>
            <w:spacing w:before="0" w:after="80"/>
            <w:ind w:left="360"/>
          </w:pPr>
          <w:hyperlink w:anchor="s16_2">
            <w:r>
              <w:rPr>
                <w:rFonts w:ascii="Arial" w:hAnsi="Arial"/>
                <w:color w:val="2E5395"/>
                <w:sz w:val="20"/>
                <w:noProof/>
              </w:rPr>
              <w:t xml:space="preserve">16.2 Queries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6), writes, and automatic migration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Sixteen parameterised SQL report definitions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Before/after overlay suppression for the visual HTML report</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VERSION_MISMATCH,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is declared in the file header (%PDF-N.M) and may also be overridden by the /Version entry in the Document Catalog. The application records both and emits a VERSION_MISMATCH finding (INFO) when they differ.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0.8. The characters differ. TEXT_OVERLAY (text_over_text) is emitted for each overlapping pair.</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120" w:before="60"/>
      </w:pPr>
      <w:r>
        <w:rPr>
          <w:rFonts w:ascii="Arial" w:cs="Arial" w:eastAsia="Arial" w:hAnsi="Arial"/>
          <w:color w:val="1A1A1A"/>
          <w:sz w:val="22"/>
          <w:szCs w:val="22"/>
        </w:rPr>
        <w:t xml:space="preserve">The Visual Overlay Report is an HTML report that renders each page containing TEXT_OVERLAY findings with colour-coded bounding boxes over each detected overlay, alongside a plain-language description and a high-resolution zoomed crop. Overlay types are colour-coded:</w:t>
      </w:r>
    </w:p>
    <w:p>
      <w:pPr>
        <w:pStyle w:val="ListParagraph"/>
        <w:numPr>
          <w:ilvl w:val="0"/>
          <w:numId w:val="2"/>
        </w:numPr>
      </w:pPr>
      <w:r>
        <w:rPr>
          <w:rFonts w:ascii="Arial" w:cs="Arial" w:eastAsia="Arial" w:hAnsi="Arial"/>
          <w:b/>
          <w:bCs/>
          <w:color w:val="C00000"/>
          <w:sz w:val="22"/>
          <w:szCs w:val="22"/>
        </w:rPr>
        <w:t xml:space="preserve">Red box: </w:t>
      </w:r>
      <w:r>
        <w:rPr>
          <w:rFonts w:ascii="Arial" w:cs="Arial" w:eastAsia="Arial" w:hAnsi="Arial"/>
          <w:color w:val="1A1A1A"/>
          <w:sz w:val="22"/>
          <w:szCs w:val="22"/>
        </w:rPr>
        <w:t xml:space="preserve">text-over-text</w:t>
      </w:r>
    </w:p>
    <w:p>
      <w:pPr>
        <w:pStyle w:val="ListParagraph"/>
        <w:numPr>
          <w:ilvl w:val="0"/>
          <w:numId w:val="2"/>
        </w:numPr>
      </w:pPr>
      <w:r>
        <w:rPr>
          <w:rFonts w:ascii="Arial" w:cs="Arial" w:eastAsia="Arial" w:hAnsi="Arial"/>
          <w:b/>
          <w:bCs/>
          <w:color w:val="1A1A1A"/>
          <w:sz w:val="22"/>
          <w:szCs w:val="22"/>
        </w:rPr>
        <w:t xml:space="preserve">Orange box: </w:t>
      </w:r>
      <w:r>
        <w:rPr>
          <w:rFonts w:ascii="Arial" w:cs="Arial" w:eastAsia="Arial" w:hAnsi="Arial"/>
          <w:color w:val="1A1A1A"/>
          <w:sz w:val="22"/>
          <w:szCs w:val="22"/>
        </w:rPr>
        <w:t xml:space="preserve">white-box content-stream masking</w:t>
      </w:r>
    </w:p>
    <w:p>
      <w:pPr>
        <w:pStyle w:val="ListParagraph"/>
        <w:numPr>
          <w:ilvl w:val="0"/>
          <w:numId w:val="2"/>
        </w:numPr>
      </w:pPr>
      <w:r>
        <w:rPr>
          <w:rFonts w:ascii="Arial" w:cs="Arial" w:eastAsia="Arial" w:hAnsi="Arial"/>
          <w:b/>
          <w:bCs/>
          <w:color w:val="2E75B6"/>
          <w:sz w:val="22"/>
          <w:szCs w:val="22"/>
        </w:rPr>
        <w:t xml:space="preserve">Blue box: </w:t>
      </w:r>
      <w:r>
        <w:rPr>
          <w:rFonts w:ascii="Arial" w:cs="Arial" w:eastAsia="Arial" w:hAnsi="Arial"/>
          <w:color w:val="1A1A1A"/>
          <w:sz w:val="22"/>
          <w:szCs w:val="22"/>
        </w:rPr>
        <w:t xml:space="preserve">annotation overlay</w:t>
      </w:r>
    </w:p>
    <w:p>
      <w:pPr>
        <w:spacing w:after="60" w:before="0"/>
      </w:pPr>
      <w:r>
        <w:t xml:space="preserve"/>
      </w:r>
    </w:p>
    <w:p>
      <w:pPr>
        <w:spacing w:after="120" w:before="60"/>
      </w:pPr>
      <w:r>
        <w:rPr>
          <w:rFonts w:ascii="Arial" w:cs="Arial" w:eastAsia="Arial" w:hAnsi="Arial"/>
          <w:color w:val="1A1A1A"/>
          <w:sz w:val="22"/>
          <w:szCs w:val="22"/>
        </w:rPr>
        <w:t xml:space="preserve">The report includes a before/after toggle for each finding: the 'before' view shows the page as rendered normally; the 'after' view shows the page with the overlay operators suppressed, revealing the underlying content. The overlay suppression is implemented in reports/reveal.py using pikepdf's content stream rewriting.</w:t>
      </w:r>
    </w:p>
    <w:p>
      <w:pPr>
        <w:spacing w:after="100" w:before="0"/>
      </w:pPr>
      <w:r>
        <w:t xml:space="preserve"/>
      </w:r>
    </w:p>
    <w:p>
      <w:r>
        <w:br w:type="page"/>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43"/>
      <w:r>
        <w:rPr>
          <w:rFonts w:ascii="Arial" w:cs="Arial" w:eastAsia="Arial" w:hAnsi="Arial"/>
          <w:b/>
          <w:bCs/>
          <w:color w:val="1F3864"/>
          <w:sz w:val="32"/>
          <w:szCs w:val="32"/>
        </w:rPr>
        <w:t xml:space="preserve">10.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0_1" w:id="44"/>
      <w:r>
        <w:rPr>
          <w:rFonts w:ascii="Arial" w:cs="Arial" w:eastAsia="Arial" w:hAnsi="Arial"/>
          <w:b/>
          <w:bCs/>
          <w:color w:val="1F3864"/>
          <w:sz w:val="26"/>
          <w:szCs w:val="26"/>
        </w:rPr>
        <w:t xml:space="preserve">10.1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0_2" w:id="45"/>
      <w:r>
        <w:rPr>
          <w:rFonts w:ascii="Arial" w:cs="Arial" w:eastAsia="Arial" w:hAnsi="Arial"/>
          <w:b/>
          <w:bCs/>
          <w:color w:val="1F3864"/>
          <w:sz w:val="26"/>
          <w:szCs w:val="26"/>
        </w:rPr>
        <w:t xml:space="preserve">10.2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pStyle w:val="Heading1"/>
        <w:pBdr>
          <w:bottom w:val="single" w:color="2E75B6" w:sz="6" w:space="4"/>
        </w:pBdr>
        <w:spacing w:after="120" w:before="360"/>
      </w:pPr>
      <w:bookmarkStart w:name="s11" w:id="46"/>
      <w:r>
        <w:rPr>
          <w:rFonts w:ascii="Arial" w:cs="Arial" w:eastAsia="Arial" w:hAnsi="Arial"/>
          <w:b/>
          <w:bCs/>
          <w:color w:val="1F3864"/>
          <w:sz w:val="32"/>
          <w:szCs w:val="32"/>
        </w:rPr>
        <w:t xml:space="preserve">11.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and SIGNED_THEN_MODIFIED can reflect a legitimate post-signing workflow such as an additional signature or permitted form fill-in. In every case the finding is a prompt to determine WHAT changed, not a conclusion that the change was illegitimate.</w:t>
      </w:r>
    </w:p>
    <w:p>
      <w:pPr>
        <w:pStyle w:val="Heading1"/>
        <w:pBdr>
          <w:bottom w:val="single" w:color="2E75B6" w:sz="6" w:space="4"/>
        </w:pBdr>
        <w:spacing w:after="120" w:before="360"/>
      </w:pPr>
      <w:bookmarkStart w:name="s12" w:id="47"/>
      <w:r>
        <w:rPr>
          <w:rFonts w:ascii="Arial" w:cs="Arial" w:eastAsia="Arial" w:hAnsi="Arial"/>
          <w:b/>
          <w:bCs/>
          <w:color w:val="1F3864"/>
          <w:sz w:val="32"/>
          <w:szCs w:val="32"/>
        </w:rPr>
        <w:t xml:space="preserve">12.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2_1" w:id="48"/>
      <w:r>
        <w:rPr>
          <w:rFonts w:ascii="Arial" w:cs="Arial" w:eastAsia="Arial" w:hAnsi="Arial"/>
          <w:b/>
          <w:bCs/>
          <w:color w:val="1F3864"/>
          <w:sz w:val="26"/>
          <w:szCs w:val="26"/>
        </w:rPr>
        <w:t xml:space="preserve">12.1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2_2" w:id="49"/>
      <w:r>
        <w:rPr>
          <w:rFonts w:ascii="Arial" w:cs="Arial" w:eastAsia="Arial" w:hAnsi="Arial"/>
          <w:b/>
          <w:bCs/>
          <w:color w:val="1F3864"/>
          <w:sz w:val="26"/>
          <w:szCs w:val="26"/>
        </w:rPr>
        <w:t xml:space="preserve">12.2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2_3" w:id="50"/>
      <w:r>
        <w:rPr>
          <w:rFonts w:ascii="Arial" w:cs="Arial" w:eastAsia="Arial" w:hAnsi="Arial"/>
          <w:b/>
          <w:bCs/>
          <w:color w:val="1F3864"/>
          <w:sz w:val="26"/>
          <w:szCs w:val="26"/>
        </w:rPr>
        <w:t xml:space="preserve">12.3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2_4" w:id="51"/>
      <w:r>
        <w:rPr>
          <w:rFonts w:ascii="Arial" w:cs="Arial" w:eastAsia="Arial" w:hAnsi="Arial"/>
          <w:b/>
          <w:bCs/>
          <w:color w:val="1F3864"/>
          <w:sz w:val="26"/>
          <w:szCs w:val="26"/>
        </w:rPr>
        <w:t xml:space="preserve">12.4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2_5" w:id="52"/>
      <w:r>
        <w:rPr>
          <w:rFonts w:ascii="Arial" w:cs="Arial" w:eastAsia="Arial" w:hAnsi="Arial"/>
          <w:b/>
          <w:bCs/>
          <w:color w:val="1F3864"/>
          <w:sz w:val="26"/>
          <w:szCs w:val="26"/>
        </w:rPr>
        <w:t xml:space="preserve">12.5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2_6" w:id="53"/>
      <w:r>
        <w:rPr>
          <w:rFonts w:ascii="Arial" w:cs="Arial" w:eastAsia="Arial" w:hAnsi="Arial"/>
          <w:b/>
          <w:bCs/>
          <w:color w:val="1F3864"/>
          <w:sz w:val="26"/>
          <w:szCs w:val="26"/>
        </w:rPr>
        <w:t xml:space="preserve">12.6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3" w:id="54"/>
      <w:r>
        <w:rPr>
          <w:rFonts w:ascii="Arial" w:cs="Arial" w:eastAsia="Arial" w:hAnsi="Arial"/>
          <w:b/>
          <w:bCs/>
          <w:color w:val="1F3864"/>
          <w:sz w:val="32"/>
          <w:szCs w:val="32"/>
        </w:rPr>
        <w:t xml:space="preserve">13.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3_1" w:id="55"/>
      <w:r>
        <w:rPr>
          <w:rFonts w:ascii="Arial" w:cs="Arial" w:eastAsia="Arial" w:hAnsi="Arial"/>
          <w:b/>
          <w:bCs/>
          <w:color w:val="1F3864"/>
          <w:sz w:val="26"/>
          <w:szCs w:val="26"/>
        </w:rPr>
        <w:t xml:space="preserve">13.1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3_2" w:id="56"/>
      <w:r>
        <w:rPr>
          <w:rFonts w:ascii="Arial" w:cs="Arial" w:eastAsia="Arial" w:hAnsi="Arial"/>
          <w:b/>
          <w:bCs/>
          <w:color w:val="1F3864"/>
          <w:sz w:val="26"/>
          <w:szCs w:val="26"/>
        </w:rPr>
        <w:t xml:space="preserve">13.2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and the git commit hash (if applicable) in the case notes.</w:t>
      </w:r>
    </w:p>
    <w:p>
      <w:pPr>
        <w:spacing w:after="80" w:before="0"/>
      </w:pPr>
      <w:r>
        <w:t xml:space="preserve"/>
      </w:r>
    </w:p>
    <w:p>
      <w:pPr>
        <w:pStyle w:val="Heading2"/>
        <w:spacing w:after="80" w:before="240"/>
      </w:pPr>
      <w:bookmarkStart w:name="s13_3" w:id="57"/>
      <w:r>
        <w:rPr>
          <w:rFonts w:ascii="Arial" w:cs="Arial" w:eastAsia="Arial" w:hAnsi="Arial"/>
          <w:b/>
          <w:bCs/>
          <w:color w:val="1F3864"/>
          <w:sz w:val="26"/>
          <w:szCs w:val="26"/>
        </w:rPr>
        <w:t xml:space="preserve">13.3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annotated page images. These are derived exhibits — they are generated from the source file and must be presented with their derivation documented.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12,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4" w:id="58"/>
      <w:r>
        <w:rPr>
          <w:rFonts w:ascii="Arial" w:cs="Arial" w:eastAsia="Arial" w:hAnsi="Arial"/>
          <w:b/>
          <w:bCs/>
          <w:color w:val="1F3864"/>
          <w:sz w:val="32"/>
          <w:szCs w:val="32"/>
        </w:rPr>
        <w:t xml:space="preserve">14.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4_1" w:id="59"/>
      <w:r>
        <w:rPr>
          <w:rFonts w:ascii="Arial" w:cs="Arial" w:eastAsia="Arial" w:hAnsi="Arial"/>
          <w:b/>
          <w:bCs/>
          <w:color w:val="1F3864"/>
          <w:sz w:val="26"/>
          <w:szCs w:val="26"/>
        </w:rPr>
        <w:t xml:space="preserve">14.1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4_2" w:id="60"/>
      <w:r>
        <w:rPr>
          <w:rFonts w:ascii="Arial" w:cs="Arial" w:eastAsia="Arial" w:hAnsi="Arial"/>
          <w:b/>
          <w:bCs/>
          <w:color w:val="1F3864"/>
          <w:sz w:val="26"/>
          <w:szCs w:val="26"/>
        </w:rPr>
        <w:t xml:space="preserve">14.2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5" w:id="61"/>
      <w:r>
        <w:rPr>
          <w:rFonts w:ascii="Arial" w:cs="Arial" w:eastAsia="Arial" w:hAnsi="Arial"/>
          <w:b/>
          <w:bCs/>
          <w:color w:val="1F3864"/>
          <w:sz w:val="32"/>
          <w:szCs w:val="32"/>
        </w:rPr>
        <w:t xml:space="preserve">15.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5_1" w:id="62"/>
      <w:r>
        <w:rPr>
          <w:rFonts w:ascii="Arial" w:cs="Arial" w:eastAsia="Arial" w:hAnsi="Arial"/>
          <w:b/>
          <w:bCs/>
          <w:color w:val="1F3864"/>
          <w:sz w:val="26"/>
          <w:szCs w:val="26"/>
        </w:rPr>
        <w:t>15.1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5_2" w:id="63"/>
      <w:r>
        <w:rPr>
          <w:rFonts w:ascii="Arial" w:cs="Arial" w:eastAsia="Arial" w:hAnsi="Arial"/>
          <w:b/>
          <w:bCs/>
          <w:color w:val="1F3864"/>
          <w:sz w:val="26"/>
          <w:szCs w:val="26"/>
        </w:rPr>
        <w:t>15.2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5_3" w:id="64"/>
      <w:r>
        <w:rPr>
          <w:rFonts w:ascii="Arial" w:cs="Arial" w:eastAsia="Arial" w:hAnsi="Arial"/>
          <w:b/>
          <w:bCs/>
          <w:color w:val="1F3864"/>
          <w:sz w:val="26"/>
          <w:szCs w:val="26"/>
        </w:rPr>
        <w:t>15.3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15.5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5_4" w:id="65"/>
      <w:r>
        <w:rPr>
          <w:rFonts w:ascii="Arial" w:cs="Arial" w:eastAsia="Arial" w:hAnsi="Arial"/>
          <w:b/>
          <w:bCs/>
          <w:color w:val="1F3864"/>
          <w:sz w:val="26"/>
          <w:szCs w:val="26"/>
        </w:rPr>
        <w:t>15.4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5_5" w:id="66"/>
      <w:r>
        <w:rPr>
          <w:rFonts w:ascii="Arial" w:cs="Arial" w:eastAsia="Arial" w:hAnsi="Arial"/>
          <w:b/>
          <w:bCs/>
          <w:color w:val="1F3864"/>
          <w:sz w:val="26"/>
          <w:szCs w:val="26"/>
        </w:rPr>
        <w:t>15.5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12.5)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5_6" w:id="67"/>
      <w:r>
        <w:rPr>
          <w:rFonts w:ascii="Arial" w:cs="Arial" w:eastAsia="Arial" w:hAnsi="Arial"/>
          <w:b/>
          <w:bCs/>
          <w:color w:val="1F3864"/>
          <w:sz w:val="26"/>
          <w:szCs w:val="26"/>
        </w:rPr>
        <w:t>15.6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use before/after toggle to identify the original content beneath each overlay</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12.3 / 12.4)</w:t>
      </w:r>
    </w:p>
    <w:p>
      <w:pPr>
        <w:spacing w:after="60" w:before="0"/>
      </w:pPr>
      <w:r>
        <w:t xml:space="preserve"/>
      </w:r>
    </w:p>
    <w:p>
      <w:pPr>
        <w:pStyle w:val="Heading2"/>
        <w:spacing w:after="80" w:before="240"/>
      </w:pPr>
      <w:bookmarkStart w:name="s15_7" w:id="68"/>
      <w:r>
        <w:rPr>
          <w:rFonts w:ascii="Arial" w:cs="Arial" w:eastAsia="Arial" w:hAnsi="Arial"/>
          <w:b/>
          <w:bCs/>
          <w:color w:val="1F3864"/>
          <w:sz w:val="26"/>
          <w:szCs w:val="26"/>
        </w:rPr>
        <w:t>15.7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5_8" w:id="69"/>
      <w:r>
        <w:rPr>
          <w:rFonts w:ascii="Arial" w:cs="Arial" w:eastAsia="Arial" w:hAnsi="Arial"/>
          <w:b/>
          <w:bCs/>
          <w:color w:val="1F3864"/>
          <w:sz w:val="26"/>
          <w:szCs w:val="26"/>
        </w:rPr>
        <w:t>15.8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5_9" w:id="70"/>
      <w:r>
        <w:rPr>
          <w:rFonts w:ascii="Arial" w:cs="Arial" w:eastAsia="Arial" w:hAnsi="Arial"/>
          <w:b/>
          <w:bCs/>
          <w:color w:val="1F3864"/>
          <w:sz w:val="26"/>
          <w:szCs w:val="26"/>
        </w:rPr>
        <w:t>15.9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and session log as exhibits</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12</w:t>
      </w:r>
    </w:p>
    <w:p>
      <w:pPr>
        <w:spacing w:after="100" w:before="0"/>
      </w:pPr>
      <w:r>
        <w:t xml:space="preserve"/>
      </w:r>
    </w:p>
    <w:p>
      <w:r>
        <w:br w:type="page"/>
      </w:r>
    </w:p>
    <w:p>
      <w:pPr>
        <w:pStyle w:val="Heading1"/>
        <w:pBdr>
          <w:bottom w:val="single" w:color="2E75B6" w:sz="6" w:space="4"/>
        </w:pBdr>
        <w:spacing w:after="120" w:before="360"/>
      </w:pPr>
      <w:bookmarkStart w:name="s16" w:id="71"/>
      <w:r>
        <w:rPr>
          <w:rFonts w:ascii="Arial" w:cs="Arial" w:eastAsia="Arial" w:hAnsi="Arial"/>
          <w:b/>
          <w:bCs/>
          <w:color w:val="1F3864"/>
          <w:sz w:val="32"/>
          <w:szCs w:val="32"/>
        </w:rPr>
        <w:t xml:space="preserve">16.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6_1" w:id="72"/>
      <w:r>
        <w:rPr>
          <w:rFonts w:ascii="Arial" w:cs="Arial" w:eastAsia="Arial" w:hAnsi="Arial"/>
          <w:b/>
          <w:bCs/>
          <w:color w:val="1F3864"/>
          <w:sz w:val="26"/>
          <w:szCs w:val="26"/>
        </w:rPr>
        <w:t xml:space="preserve">16.1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6_2" w:id="73"/>
      <w:r>
        <w:rPr>
          <w:rFonts w:ascii="Arial" w:cs="Arial" w:eastAsia="Arial" w:hAnsi="Arial"/>
          <w:b/>
          <w:bCs/>
          <w:color w:val="1F3864"/>
          <w:sz w:val="26"/>
          <w:szCs w:val="26"/>
        </w:rPr>
        <w:t xml:space="preserve">16.2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v1.0 — 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