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for example text laid over the page or a font that does not match the rest of the document. The document score is taken from the most suspicious single page, so one altered page is not hidden by a long run of clean ones. Section 4.7 describes these page-level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The comment flag (+5) is informational only and never, by itself, lifts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