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sixteen HTML reports from its SQLite database.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Reports use a dynamic pivot for two reports (PDF Metadata, EXIF &amp; GPS Data) where the column set is determined at runtime based on what metadata keys were found.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byte offsets of the first and last %%EOF markers, and the total file size. Only documents with two or more versions appear in this report.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and font anomalies)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a flag for reviewer comments, capped at 100.</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Equals Document Risk minus any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document score uses the maximum page score, not the sum across pages, so a single altered page is neither diluted nor amplified by the count of clean pages. Highest Page Risk is shown alongside so the two can be compared directly.</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when they differ by exactly the comment weight, the score is driven by a single page plus the presence of comments rather than by widespread page-level findings.</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1"/>
      </w:pPr>
      <w:r>
        <w:rPr>
          <w:rFonts w:ascii="Arial" w:cs="Arial" w:eastAsia="Arial" w:hAnsi="Arial"/>
        </w:rPr>
        <w:t xml:space="preserve">3.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4.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