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v1.0.2</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spacing w:after="280" w:before="0"/>
      </w:pPr>
      <w:r>
        <w:rPr>
          <w:rFonts w:ascii="Arial" w:hAnsi="Arial"/>
          <w:b w:val="0"/>
          <w:color w:val="5A5A5A"/>
          <w:sz w:val="20"/>
        </w:rPr>
        <w:t>Document Date: October 22, 2026 · Applies to PDF Forensics Suite v1.0.2, build 2026-10-22</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80" w:before="80"/>
      </w:pPr>
      <w:r>
        <w:rPr>
          <w:rFonts w:ascii="Arial" w:cs="Arial" w:eastAsia="Arial" w:hAnsi="Arial"/>
          <w:color w:val="000000"/>
          <w:sz w:val="22"/>
          <w:szCs w:val="22"/>
        </w:rPr>
        <w:t xml:space="preserve">Your acknowledgement is saved in your Windows user profile, in a settings file named .pdf_forensics_config.json in your user folder, together with the date and time, your Windows user name, the computer, and which version of the disclaimer you acknowledged. The disclaimer therefore appears once for each user account on a computer, not at every launch, and is shown again only if its wording changes. Every session log records the acknowledgement on file. The full disclaimer remains available at any time under Help → About.</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“Add folder” to add every PDF in a folder (you will be asked whether to include subfolders), or “From list” to add the PDFs named in a text file.</w:t>
      </w:r>
    </w:p>
    <w:p>
      <w:pPr>
        <w:spacing w:after="80" w:before="80"/>
      </w:pPr>
      <w:r>
        <w:rPr>
          <w:rFonts w:ascii="Arial" w:cs="Arial" w:eastAsia="Arial" w:hAnsi="Arial"/>
          <w:color w:val="000000"/>
          <w:sz w:val="22"/>
          <w:szCs w:val="22"/>
        </w:rPr>
        <w:t xml:space="preserve">“From list” reads a plain text file with one full path per line, for example: D:\Cases\2026-EXAMPLE\Source\[001.1] Example Bank Letter.pdf. Paths may be wrapped in quotation marks (as File Explorer’s “Copy as path” produces), and a line copied from several spreadsheet cells is fine: the cell holding an existing file is used. The file can be saved in any common text encoding, so paths with accented characters are read correctly. Blank lines and lines starting with # are ignored, and a file listed twice is added once. Any path that cannot be found is shown by name when the list is loaded and recorded in the session log, together with the list file’s name and MD5, so the selection that went into the analysis can be reproduced.</w:t>
      </w:r>
    </w:p>
    <w:p>
      <w:pPr>
        <w:spacing w:after="80" w:before="80"/>
      </w:pPr>
      <w:r>
        <w:rPr>
          <w:rFonts w:ascii="Arial" w:cs="Arial" w:eastAsia="Arial" w:hAnsi="Arial"/>
          <w:color w:val="000000"/>
          <w:sz w:val="22"/>
          <w:szCs w:val="22"/>
        </w:rPr>
        <w:t xml:space="preserve">This is the usual way to work through a large volume of PDFs selectively. Run Triage on everything first, review the triage spreadsheet, and copy the Path column for the documents that warrant full analysis into a text file (Notepad is fine). Then load that file with “From list” and run the analysis. Copy the Path column rather than the Filename column, because the list needs the full path to each file. Prior-version rows in the triage spreadsheet carry their parent document’s path, so copying them as well does no harm: the duplicates are ignored.</w:t>
      </w:r>
    </w:p>
    <w:p>
      <w:pPr>
        <w:spacing w:after="80" w:before="80"/>
      </w:pPr>
      <w:r>
        <w:rPr>
          <w:rFonts w:ascii="Arial" w:cs="Arial" w:eastAsia="Arial" w:hAnsi="Arial"/>
          <w:color w:val="000000"/>
          <w:sz w:val="22"/>
          <w:szCs w:val="22"/>
        </w:rPr>
        <w:t xml:space="preserve">Encrypted PDFs. If a document is protected by a password, the application tries to open it, in triage as well as analysis. A file that is encrypted only to set permissions opens by itself. For a file that needs a real password, use “Password list…” to select a text file of candidate passwords (ones you already hold), one per line; the application tries each in turn and stops at the first that works, and a password that works is tried first on the files that follow. Nothing is written to the file and the PDF is not modified. The Encrypted Files report lists every encrypted PDF, the password that opened it, or a note that none did. The report contains passwords, so handle it as carefully as the list itself.</w:t>
      </w:r>
    </w:p>
    <w:p>
      <w:pPr>
        <w:spacing w:after="80" w:before="80"/>
      </w:pPr>
      <w:r>
        <w:rPr>
          <w:rFonts w:ascii="Arial" w:cs="Arial" w:eastAsia="Arial" w:hAnsi="Arial"/>
          <w:color w:val="000000"/>
          <w:sz w:val="22"/>
          <w:szCs w:val="22"/>
        </w:rPr>
        <w:t xml:space="preserve">You do not have to choose a list before starting. If the run meets password-protected files and no list was supplied, or the list did not open them, the application sets those files aside and, at the end of the run, offers to try a password list on just those files. This keeps a large batch from stopping to wait for you partway through.</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spacing w:after="80" w:before="80"/>
      </w:pPr>
      <w:r>
        <w:rPr>
          <w:rFonts w:ascii="Arial" w:cs="Arial" w:eastAsia="Arial" w:hAnsi="Arial"/>
          <w:color w:val="000000"/>
          <w:sz w:val="22"/>
          <w:szCs w:val="22"/>
        </w:rPr>
        <w:t xml:space="preserve">“Skip PDFs already in the database” compares each file’s content (its MD5 hash), not its name, so it also catches identical copies within the same batch, for example the same bank letter filed under several exhibit numbers. Only the first copy is analysed. Each later copy is listed in the log as an identical copy of the file it matches, counted under Copies, and recorded in the database, so no submitted file goes unaccounted for. The Duplicate Submissions report lists them.</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80" w:before="80"/>
      </w:pPr>
      <w:r>
        <w:rPr>
          <w:rFonts w:ascii="Arial" w:cs="Arial" w:eastAsia="Arial" w:hAnsi="Arial"/>
          <w:color w:val="000000"/>
          <w:sz w:val="22"/>
          <w:szCs w:val="22"/>
        </w:rPr>
        <w:t xml:space="preserve">When the run finishes, a summary accounts for every file you submitted, for example: “12 submitted: 6 analysed, 6 skipped as identical copies of files already analysed, 0 failed; plus 4 prior versions extracted and analysed.” The counters above the log show the same figures (Processed, Failed, Copies, Images), and the summary is written to the session log. If a file fails, the reason is shown in the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 The triage spreadsheet has a pdf-triage overview sheet and a pdf-metadata sheet; when a document contains incremental updates, each prior version’s metadata is included as its own row, labelled in a Source column (“Current” or “Prior v1”, “Prior v2”, and so on), so the metadata of earlier saved versions can be compared against the current one without running a full analysis.</w:t>
      </w:r>
    </w:p>
    <w:p>
      <w:pPr>
        <w:spacing w:after="80" w:before="80"/>
      </w:pPr>
      <w:r>
        <w:rPr>
          <w:rFonts w:ascii="Arial" w:cs="Arial" w:eastAsia="Arial" w:hAnsi="Arial"/>
          <w:color w:val="000000"/>
          <w:sz w:val="22"/>
          <w:szCs w:val="22"/>
        </w:rPr>
        <w:t xml:space="preserve">Not every %%EOF marker ends a saved version. In a linearized (“fast web view”) PDF the first %%EOF ends a small first-page section near the start of the file, and some markers end bytes that are not a usable PDF on their own. The application checks each one before treating it as a prior version: only genuine, usable earlier versions are listed, extracted and analysed, and the triage spreadsheet’s Prior-Version Check column explains any marker that was not treated as a version.</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spacing w:after="80" w:before="80"/>
      </w:pPr>
      <w:r>
        <w:rPr>
          <w:rFonts w:ascii="Arial" w:cs="Arial" w:eastAsia="Arial" w:hAnsi="Arial"/>
          <w:color w:val="000000"/>
          <w:sz w:val="22"/>
          <w:szCs w:val="22"/>
        </w:rPr>
        <w:t xml:space="preserve">Start with the case index: the file named after your case and ending in _index.html, in the main results folder. It links to every report, graph, spreadsheet, extracted image, prior version and log for the case, shows how each submitted file was handled, and is updated automatically after every analysis, triage, report or graph run. Browsers cannot open Excel files directly, so for spreadsheets the index offers Copy path: paste the path into Win+R or the File Explorer address bar and press Enter.</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 It shows each page with its overlays as layers you can switch on and off, so you can see the document as received, the original underneath, and every step in between. Each report run also writes a Document Risk Overview spreadsheet listing every document with its risk score.</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 Both analyze and triage accept -l (or --pdf-list) followed by a text file of paths in the same format as “From list”.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