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v1.0.3</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v1.0.3, build 2026-10-22b</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v1.0.3.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VERSION_INVALID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declared PDF version (header, Catalog /Version or XMP pdf:PDFVersion) that does not exist; only 1.0 to 1.7 and 2.0 do. No conforming producer writes one, so it indicates a hand edit.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VERSION_CONFLICT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XMP pdf:PDFVersion disagrees with the version in effect, or a later incremental update added, changed or removed it, or lowered the Catalog /Version: the trace a metadata tool such as ExifTool leaves. A Catalog /Version raised by an update is not counted.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2"/>
      </w:pPr>
      <w:r>
        <w:rPr>
          <w:rFonts w:ascii="Arial" w:cs="Arial" w:eastAsia="Arial" w:hAnsi="Arial"/>
        </w:rPr>
        <w:t xml:space="preserve">5.4  Encryption Record (schema revision 9)</w:t>
      </w:r>
    </w:p>
    <w:p>
      <w:pPr>
        <w:spacing w:after="80" w:before="80"/>
      </w:pPr>
      <w:r>
        <w:rPr>
          <w:rFonts w:ascii="Arial" w:cs="Arial" w:eastAsia="Arial" w:hAnsi="Arial"/>
          <w:color w:val="000000"/>
          <w:sz w:val="22"/>
          <w:szCs w:val="22"/>
        </w:rPr>
        <w:t xml:space="preserve">Every encrypted file the application handles is recorded in the encryption table, one row per file per run, whether or not it could be opened. The row states whether a password opened the file, the password that worked and where it came from (the empty password, a password already found to work in the run, or a line of the supplied list), the encryption scheme, how many passwords were tried, and the analysis that followed. The Encrypted Files report is built from this table, so it can be regenerated from the database on a later run. A file that no password opened is also recorded in the submissions table (5.3) with the outcome encrypted_unopened. This table does not affect any score. Because it holds the passwords that opened files, the database should be handled with the same care as the password list.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encryption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recorded_at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 pdf_md5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is_encrypted INTEGER NOT NULL, opened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 TEXT,         -- the password that worked ("" = empty); NULL if none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password_source TEXT,  -- "empty", "known-good" or "list line N"; if not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opened, why (e.g. "no password list supplied")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scheme TEXT,           -- e.g. "AES-256 (V5 R6)"</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attempts INTEGER,      -- passwords tried on this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the analysis of the opened file</w:t>
      </w:r>
    </w:p>
    <w:p>
      <w:pPr>
        <w:spacing w:after="80" w:before="80"/>
      </w:pPr>
      <w:r>
        <w:rPr>
          <w:rFonts w:ascii="Arial" w:cs="Arial" w:eastAsia="Arial" w:hAnsi="Arial"/>
          <w:color w:val="000000"/>
          <w:sz w:val="22"/>
          <w:szCs w:val="22"/>
        </w:rPr>
        <w:t xml:space="preserve">The migration is additive and runs automatically when an older database is opened; existing rows are unchanged.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v1.0.3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v1.0.3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