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v1.0.3</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v1.0.3, build 2026-10-22b</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twenty-one HTML reports from its analysis database, plus a visual overlay report, a risk spreadsheet and a case index (section 3).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Summary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Rank documents by their overall document-level risk score.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 Anachronism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documents whose PDF version claim is impossible, was changed, or is older than the features they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Dossier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signal behind each document’s risk score in one row.</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Text Overlay Detection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boxes, annotations or text placed over existing page text.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Font Consistency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Spot text in a font that does not match the rest of the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Comments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reviewer comments and markup left in the documents.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 Overview</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way content is hidden in each document, in one place.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Duplicate Submissions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file submitted under different names, or different files under the same name.</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Brings together every problem with a document's PDF version. It lists a version number that does not exist (no genuine software writes one, so it points to a hand edit); a version label changed after the file was created (metadata tools add the change at the end of the file rather than replacing the original, so both the old and the new label remain and the report shows each); and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2"/>
      </w:pPr>
      <w:r>
        <w:rPr>
          <w:rFonts w:ascii="Arial" w:cs="Arial" w:eastAsia="Arial" w:hAnsi="Arial"/>
        </w:rPr>
        <w:t xml:space="preserve">2.16  Text Overlay Detection</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for each place where something has been laid over the page to change what it appears to say, while the original stays in the file underneath. There are three kinds: an annotation such as a text box or rectangle placed over the text (including a covering box with a separate text box on top carrying the new value); a white box drawn on the page with new text written on it; and text written directly over other text.</w:t>
      </w:r>
    </w:p>
    <w:p>
      <w:pPr>
        <w:spacing w:after="80" w:before="80"/>
      </w:pPr>
      <w:r>
        <w:rPr>
          <w:rFonts w:ascii="Arial" w:cs="Arial" w:eastAsia="Arial" w:hAnsi="Arial"/>
          <w:color w:val="000000"/>
          <w:sz w:val="22"/>
          <w:szCs w:val="22"/>
        </w:rPr>
        <w:t xml:space="preserve">A white box with several lines of new text on it is listed once, as one change. The Detail column says what was covered, and where an annotation carries text, that text is shown: it is often the replacement value.</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Dates, amounts, names, account numbers or bank details: these are the usual targets.</w:t>
      </w:r>
    </w:p>
    <w:p>
      <w:pPr>
        <w:pStyle w:val="ListParagraph"/>
        <w:numPr>
          <w:ilvl w:val="0"/>
          <w:numId w:val="2"/>
        </w:numPr>
        <w:spacing w:after="60" w:before="60"/>
      </w:pPr>
      <w:r>
        <w:rPr>
          <w:rFonts w:ascii="Arial" w:cs="Arial" w:eastAsia="Arial" w:hAnsi="Arial"/>
          <w:color w:val="000000"/>
          <w:sz w:val="22"/>
          <w:szCs w:val="22"/>
        </w:rPr>
        <w:t xml:space="preserve">A box and a text box at the same spot: the classic way of hiding an old value and showing a new one.</w:t>
      </w:r>
    </w:p>
    <w:p>
      <w:pPr>
        <w:pStyle w:val="ListParagraph"/>
        <w:numPr>
          <w:ilvl w:val="0"/>
          <w:numId w:val="2"/>
        </w:numPr>
        <w:spacing w:after="60" w:before="60"/>
      </w:pPr>
      <w:r>
        <w:rPr>
          <w:rFonts w:ascii="Arial" w:cs="Arial" w:eastAsia="Arial" w:hAnsi="Arial"/>
          <w:color w:val="000000"/>
          <w:sz w:val="22"/>
          <w:szCs w:val="22"/>
        </w:rPr>
        <w:t xml:space="preserve">Open the Visual Overlay Report to see each overlay on the page and switch it off to reveal what lies beneath.</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Not every overlay is an alteration. Legitimate stamps, form fields and redactions can also cover text.</w:t>
      </w:r>
    </w:p>
    <w:p>
      <w:pPr>
        <w:pStyle w:val="ListParagraph"/>
        <w:numPr>
          <w:ilvl w:val="0"/>
          <w:numId w:val="2"/>
        </w:numPr>
        <w:spacing w:after="60" w:before="60"/>
      </w:pPr>
      <w:r>
        <w:rPr>
          <w:rFonts w:ascii="Arial" w:cs="Arial" w:eastAsia="Arial" w:hAnsi="Arial"/>
          <w:color w:val="000000"/>
          <w:sz w:val="22"/>
          <w:szCs w:val="22"/>
        </w:rPr>
        <w:t xml:space="preserve">A small text box placed over text without a covering box behind it is not listed, to avoid flagging ordinary comments.</w:t>
      </w:r>
    </w:p>
    <w:p>
      <w:pPr>
        <w:pStyle w:val="Heading2"/>
      </w:pPr>
      <w:r>
        <w:rPr>
          <w:rFonts w:ascii="Arial" w:cs="Arial" w:eastAsia="Arial" w:hAnsi="Arial"/>
        </w:rPr>
        <w:t xml:space="preserve">2.17  Font Consistency Analysis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Text whose font does not match the main font of the document, with a short snippet of that text. Text added later in a different program often ends up in a different font.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A single date, amount or name in a different font from everything around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Many genuine documents mix fonts for headings, logos, signatures and form fields. Treat this as supporting evidence, not proof.</w:t>
      </w:r>
    </w:p>
    <w:p>
      <w:pPr>
        <w:pStyle w:val="Heading2"/>
      </w:pPr>
      <w:r>
        <w:rPr>
          <w:rFonts w:ascii="Arial" w:cs="Arial" w:eastAsia="Arial" w:hAnsi="Arial"/>
        </w:rPr>
        <w:t xml:space="preserve">2.18  Document Comments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Comments, sticky notes, highlights and other markup left in the documents, with the author name, dates and comment text.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Who has handled a document and when, and any notes that discuss changes to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Comments are not in themselves a sign of tampering. Author names are typed in by whoever made the comment and are easy to change.</w:t>
      </w:r>
    </w:p>
    <w:p>
      <w:pPr>
        <w:pStyle w:val="Heading2"/>
      </w:pPr>
      <w:r>
        <w:rPr>
          <w:rFonts w:ascii="Arial" w:cs="Arial" w:eastAsia="Arial" w:hAnsi="Arial"/>
        </w:rPr>
        <w:t xml:space="preserve">2.19  Concealment Overview</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per document that hides content in any way, counting each kind: one image placed over another (and how many of those hide it completely), boxes or text laid over page text, and redactions that were marked but never applied. This is the place to start when looking for hidden content; the counts point to the detailed reports.</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Documents with high counts, especially full-concealment overlaps or unapplied redactions, whose hidden content is still in the file.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Documents with nothing hidden are not listed. The counts summarise; open Overlap &amp; Concealment Detail or Text Overlay Detection for the specifics.</w:t>
      </w:r>
    </w:p>
    <w:p>
      <w:pPr>
        <w:pStyle w:val="Heading2"/>
      </w:pPr>
      <w:r>
        <w:rPr>
          <w:rFonts w:ascii="Arial" w:cs="Arial" w:eastAsia="Arial" w:hAnsi="Arial"/>
        </w:rPr>
        <w:t xml:space="preserve">2.20  Duplicate Submissions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Files submitted more than once. It shows two patterns: exactly the same file submitted under different names (for example the same bank letter filed as four separate exhibits), and different files that share the same name (for example two different versions of an invoice with identical file names). Exhibit numbers in square brackets at the start of a name, such as [001.2], are ignored when comparing names.</w:t>
      </w:r>
    </w:p>
    <w:p>
      <w:pPr>
        <w:spacing w:after="80" w:before="80"/>
      </w:pPr>
      <w:r>
        <w:rPr>
          <w:rFonts w:ascii="Arial" w:cs="Arial" w:eastAsia="Arial" w:hAnsi="Arial"/>
          <w:color w:val="000000"/>
          <w:sz w:val="22"/>
          <w:szCs w:val="22"/>
        </w:rPr>
        <w:t xml:space="preserve">When the same file is submitted more than once, only the first copy is analysed; the others are listed as identical copies of it.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The same document presented several times under different references.</w:t>
      </w:r>
    </w:p>
    <w:p>
      <w:pPr>
        <w:pStyle w:val="ListParagraph"/>
        <w:numPr>
          <w:ilvl w:val="0"/>
          <w:numId w:val="2"/>
        </w:numPr>
        <w:spacing w:after="60" w:before="60"/>
      </w:pPr>
      <w:r>
        <w:rPr>
          <w:rFonts w:ascii="Arial" w:cs="Arial" w:eastAsia="Arial" w:hAnsi="Arial"/>
          <w:color w:val="000000"/>
          <w:sz w:val="22"/>
          <w:szCs w:val="22"/>
        </w:rPr>
        <w:t xml:space="preserve">Two different documents presented under the same name: compare them for what changed.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report only works for batches analysed with build 2026-10-08 or later. For earlier analyses it shows a note asking for the batch to be analysed again, rather than an empty table.</w:t>
      </w:r>
    </w:p>
    <w:p>
      <w:pPr>
        <w:pStyle w:val="Heading2"/>
      </w:pPr>
      <w:r>
        <w:rPr>
          <w:rFonts w:ascii="Arial" w:cs="Arial" w:eastAsia="Arial" w:hAnsi="Arial"/>
        </w:rPr>
        <w:t xml:space="preserve">2.21  Encrypted Files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Every password-protected PDF and what happened to it: opened with no password (files encrypted only to set permissions), opened with one of the passwords you supplied, or not opened because none of your passwords worked or because you did not supply a password list. The password that opened each file is shown, as part of the record and so the step can be repeated. The report header warns that it contains passwords; treat it as carefully as the password list itself.</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Which protected documents were opened and with which password.</w:t>
      </w:r>
    </w:p>
    <w:p>
      <w:pPr>
        <w:pStyle w:val="ListParagraph"/>
        <w:numPr>
          <w:ilvl w:val="0"/>
          <w:numId w:val="2"/>
        </w:numPr>
        <w:spacing w:after="60" w:before="60"/>
      </w:pPr>
      <w:r>
        <w:rPr>
          <w:rFonts w:ascii="Arial" w:cs="Arial" w:eastAsia="Arial" w:hAnsi="Arial"/>
          <w:color w:val="000000"/>
          <w:sz w:val="22"/>
          <w:szCs w:val="22"/>
        </w:rPr>
        <w:t xml:space="preserve">Documents that could not be opened: either no supplied password worked, or no list was supplied so they were set aside.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is not a password cracker. It only tries passwords you provide, plus the blank password; it does not guess or brute-force.</w:t>
      </w:r>
    </w:p>
    <w:p>
      <w:pPr>
        <w:pStyle w:val="ListParagraph"/>
        <w:numPr>
          <w:ilvl w:val="0"/>
          <w:numId w:val="2"/>
        </w:numPr>
        <w:spacing w:after="60" w:before="60"/>
      </w:pPr>
      <w:r>
        <w:rPr>
          <w:rFonts w:ascii="Arial" w:cs="Arial" w:eastAsia="Arial" w:hAnsi="Arial"/>
          <w:color w:val="000000"/>
          <w:sz w:val="22"/>
          <w:szCs w:val="22"/>
        </w:rPr>
        <w:t xml:space="preserve">For a locked file that could not be opened, the encryption method may show as blank, because it cannot be read without the password.</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The Visual Overlay Report</w:t>
      </w:r>
    </w:p>
    <w:p>
      <w:pPr>
        <w:spacing w:after="80" w:before="80"/>
      </w:pPr>
      <w:r>
        <w:rPr>
          <w:rFonts w:ascii="Arial" w:cs="Arial" w:eastAsia="Arial" w:hAnsi="Arial"/>
          <w:color w:val="000000"/>
          <w:sz w:val="22"/>
          <w:szCs w:val="22"/>
        </w:rPr>
        <w:t xml:space="preserve">Shows each page that has overlays, as layers you can switch on and off. When every box in the left-hand list is ticked, the page looks exactly as it does when the PDF is opened. Untick an overlay to peel it away; untick all of them to see the original content underneath.</w:t>
      </w:r>
    </w:p>
    <w:p>
      <w:pPr>
        <w:pStyle w:val="ListParagraph"/>
        <w:numPr>
          <w:ilvl w:val="0"/>
          <w:numId w:val="2"/>
        </w:numPr>
        <w:spacing w:after="60" w:before="60"/>
      </w:pPr>
      <w:r>
        <w:rPr>
          <w:rFonts w:ascii="Arial" w:cs="Arial" w:eastAsia="Arial" w:hAnsi="Arial"/>
          <w:color w:val="000000"/>
          <w:sz w:val="22"/>
          <w:szCs w:val="22"/>
        </w:rPr>
        <w:t xml:space="preserve">A white box with new text on it is shown step by step: first the box itself, then each line of text written on it, labelled 1a, 1b, 1c and so on. You can show the box without its text, the text without its box, or any single line.</w:t>
      </w:r>
    </w:p>
    <w:p>
      <w:pPr>
        <w:pStyle w:val="ListParagraph"/>
        <w:numPr>
          <w:ilvl w:val="0"/>
          <w:numId w:val="2"/>
        </w:numPr>
        <w:spacing w:after="60" w:before="60"/>
      </w:pPr>
      <w:r>
        <w:rPr>
          <w:rFonts w:ascii="Arial" w:cs="Arial" w:eastAsia="Arial" w:hAnsi="Arial"/>
          <w:color w:val="000000"/>
          <w:sz w:val="22"/>
          <w:szCs w:val="22"/>
        </w:rPr>
        <w:t xml:space="preserve">Each overlay has a numbered badge on the page. Drag a badge if it covers something important; a line keeps it connected to its overlay. Untick Show numbers &amp; lines to see the page without them.</w:t>
      </w:r>
    </w:p>
    <w:p>
      <w:pPr>
        <w:pStyle w:val="ListParagraph"/>
        <w:numPr>
          <w:ilvl w:val="0"/>
          <w:numId w:val="2"/>
        </w:numPr>
        <w:spacing w:after="60" w:before="60"/>
      </w:pPr>
      <w:r>
        <w:rPr>
          <w:rFonts w:ascii="Arial" w:cs="Arial" w:eastAsia="Arial" w:hAnsi="Arial"/>
          <w:color w:val="000000"/>
          <w:sz w:val="22"/>
          <w:szCs w:val="22"/>
        </w:rPr>
        <w:t xml:space="preserve">If the tool cannot separate the overlays on a page reliably, it says so and shows the page exactly as received, with the toggles switched off, rather than risk showing a misleading picture.</w:t>
      </w:r>
    </w:p>
    <w:p>
      <w:pPr>
        <w:pStyle w:val="ListParagraph"/>
        <w:numPr>
          <w:ilvl w:val="0"/>
          <w:numId w:val="2"/>
        </w:numPr>
        <w:spacing w:after="60" w:before="60"/>
      </w:pPr>
      <w:r>
        <w:rPr>
          <w:rFonts w:ascii="Arial" w:cs="Arial" w:eastAsia="Arial" w:hAnsi="Arial"/>
          <w:color w:val="000000"/>
          <w:sz w:val="22"/>
          <w:szCs w:val="22"/>
        </w:rPr>
        <w:t xml:space="preserve">The summary under each page explains every overlay in black on white, so it prints clearly. Printing shows the page exactly as you have set it on screen.</w:t>
      </w:r>
    </w:p>
    <w:p>
      <w:pPr>
        <w:pStyle w:val="Heading2"/>
      </w:pPr>
      <w:r>
        <w:rPr>
          <w:rFonts w:ascii="Arial" w:cs="Arial" w:eastAsia="Arial" w:hAnsi="Arial"/>
        </w:rPr>
        <w:t xml:space="preserve">3.2  The Document Risk Overview Spreadsheet</w:t>
      </w:r>
    </w:p>
    <w:p>
      <w:pPr>
        <w:spacing w:after="80" w:before="80"/>
      </w:pPr>
      <w:r>
        <w:rPr>
          <w:rFonts w:ascii="Arial" w:cs="Arial" w:eastAsia="Arial" w:hAnsi="Arial"/>
          <w:color w:val="000000"/>
          <w:sz w:val="22"/>
          <w:szCs w:val="22"/>
        </w:rPr>
        <w:t xml:space="preserve">An Excel file listing every analysed document with its risk score and the signals behind it, ready to sort and filter. It is written each time the reports are generated.</w:t>
      </w:r>
    </w:p>
    <w:p>
      <w:pPr>
        <w:pStyle w:val="Heading2"/>
      </w:pPr>
      <w:r>
        <w:rPr>
          <w:rFonts w:ascii="Arial" w:cs="Arial" w:eastAsia="Arial" w:hAnsi="Arial"/>
        </w:rPr>
        <w:t xml:space="preserve">3.3  The Case Index: Where to Start</w:t>
      </w:r>
    </w:p>
    <w:p>
      <w:pPr>
        <w:spacing w:after="80" w:before="80"/>
      </w:pPr>
      <w:r>
        <w:rPr>
          <w:rFonts w:ascii="Arial" w:cs="Arial" w:eastAsia="Arial" w:hAnsi="Arial"/>
          <w:color w:val="000000"/>
          <w:sz w:val="22"/>
          <w:szCs w:val="22"/>
        </w:rPr>
        <w:t xml:space="preserve">The file named after your case and ending in _index.html, in the main results folder, is the starting point for a case. It links to every report, graph, spreadsheet, extracted image, earlier version and log, and is updated automatically after each run.</w:t>
      </w:r>
    </w:p>
    <w:p>
      <w:pPr>
        <w:pStyle w:val="ListParagraph"/>
        <w:numPr>
          <w:ilvl w:val="0"/>
          <w:numId w:val="2"/>
        </w:numPr>
        <w:spacing w:after="60" w:before="60"/>
      </w:pPr>
      <w:r>
        <w:rPr>
          <w:rFonts w:ascii="Arial" w:cs="Arial" w:eastAsia="Arial" w:hAnsi="Arial"/>
          <w:color w:val="000000"/>
          <w:sz w:val="22"/>
          <w:szCs w:val="22"/>
        </w:rPr>
        <w:t xml:space="preserve">The Overview shows how the submitted files were handled, for example: 12 submitted, 6 analysed, 6 identical copies, 0 failed.</w:t>
      </w:r>
    </w:p>
    <w:p>
      <w:pPr>
        <w:pStyle w:val="ListParagraph"/>
        <w:numPr>
          <w:ilvl w:val="0"/>
          <w:numId w:val="2"/>
        </w:numPr>
        <w:spacing w:after="60" w:before="60"/>
      </w:pPr>
      <w:r>
        <w:rPr>
          <w:rFonts w:ascii="Arial" w:cs="Arial" w:eastAsia="Arial" w:hAnsi="Arial"/>
          <w:color w:val="000000"/>
          <w:sz w:val="22"/>
          <w:szCs w:val="22"/>
        </w:rPr>
        <w:t xml:space="preserve">If you have analysed the case more than once, use the selector at the top left to choose which analysis to view. A warning appears if one analysis’s results were produced by different versions of the tool.</w:t>
      </w:r>
    </w:p>
    <w:p>
      <w:pPr>
        <w:pStyle w:val="ListParagraph"/>
        <w:numPr>
          <w:ilvl w:val="0"/>
          <w:numId w:val="2"/>
        </w:numPr>
        <w:spacing w:after="60" w:before="60"/>
      </w:pPr>
      <w:r>
        <w:rPr>
          <w:rFonts w:ascii="Arial" w:cs="Arial" w:eastAsia="Arial" w:hAnsi="Arial"/>
          <w:color w:val="000000"/>
          <w:sz w:val="22"/>
          <w:szCs w:val="22"/>
        </w:rPr>
        <w:t xml:space="preserve">Browsers cannot open Excel files directly. For spreadsheets, click Copy path, then paste the path into Win+R or the File Explorer address bar and press Enter.</w:t>
      </w:r>
    </w:p>
    <w:p>
      <w:pPr>
        <w:pStyle w:val="Heading2"/>
      </w:pPr>
      <w:r>
        <w:rPr>
          <w:rFonts w:ascii="Arial" w:cs="Arial" w:eastAsia="Arial" w:hAnsi="Arial"/>
        </w:rPr>
        <w:t xml:space="preserve">3.4  What Happened to Each File</w:t>
      </w:r>
    </w:p>
    <w:p>
      <w:pPr>
        <w:spacing w:after="80" w:before="80"/>
      </w:pPr>
      <w:r>
        <w:rPr>
          <w:rFonts w:ascii="Arial" w:cs="Arial" w:eastAsia="Arial" w:hAnsi="Arial"/>
          <w:color w:val="000000"/>
          <w:sz w:val="22"/>
          <w:szCs w:val="22"/>
        </w:rPr>
        <w:t xml:space="preserve">At the end of every analysis the tool reports how every submitted file was handled: analysed, skipped because it is an identical copy of a file already analysed, failed (with the reason), or not found. The same summary is written to the session log and shown in the case index, so no submitted file goes unaccounted for.</w:t>
      </w:r>
    </w:p>
    <w:p>
      <w:pPr>
        <w:pStyle w:val="Heading1"/>
      </w:pPr>
      <w:r>
        <w:rPr>
          <w:rFonts w:ascii="Arial" w:cs="Arial" w:eastAsia="Arial" w:hAnsi="Arial"/>
        </w:rPr>
        <w:t xml:space="preserve">4. Using Report Features</w:t>
      </w:r>
    </w:p>
    <w:p>
      <w:pPr>
        <w:spacing w:after="80" w:before="80"/>
        <w:jc w:val="left"/>
      </w:pPr>
      <w:r>
        <w:rPr>
          <w:rFonts w:ascii="Arial" w:cs="Arial" w:eastAsia="Arial" w:hAnsi="Arial"/>
          <w:b w:val="false"/>
          <w:bCs w:val="false"/>
          <w:i w:val="false"/>
          <w:iCs w:val="false"/>
          <w:color w:val="000000"/>
          <w:sz w:val="22"/>
          <w:szCs w:val="22"/>
        </w:rPr>
        <w:t xml:space="preserve">All twenty-one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5.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v1.0.3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v1.0.3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