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v1.0.3</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v1.0.3, build 2026-10-22b</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spacing w:after="80" w:before="80"/>
      </w:pPr>
      <w:r>
        <w:rPr>
          <w:rFonts w:ascii="Arial" w:cs="Arial" w:eastAsia="Arial" w:hAnsi="Arial"/>
          <w:color w:val="000000"/>
          <w:sz w:val="22"/>
          <w:szCs w:val="22"/>
        </w:rPr>
        <w:t xml:space="preserve">Graph files are written to the graph_reports folder as {case}_graph-{scope}_{timestamp}.html. Each records its source database and the version and build that produced it (toolbar and printable cover). After every graph run the case index ({case}_index.html at the root of the case folder) is rebuilt; it files each graph under the database it was built from, read from the graph file itself, and lists its size and MD5 in the output manifest.</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spacing w:after="80" w:before="80"/>
      </w:pPr>
      <w:r>
        <w:rPr>
          <w:rFonts w:ascii="Arial" w:cs="Arial" w:eastAsia="Arial" w:hAnsi="Arial"/>
          <w:color w:val="000000"/>
          <w:sz w:val="22"/>
          <w:szCs w:val="22"/>
        </w:rPr>
        <w:t xml:space="preserve">The three scopes are nested filters over the same duplicate-image data (Cross-Document is a subset of Cross-Page, which is a subset of All Placements), so two scopes can legitimately select the identical dataset for a given database — for example, All Placements and Cross-Page coincide whenever no image repeats solely within a single page. Each generated graph embeds its scope name, the scope definition, its generation timestamp, and node/edge counts (visible in the toolbar badge and the printable cover, and stored in the file), so an exhibit always identifies which filter produced it. When multiple scopes are generated together in the GUI, the log states explicitly when a scope selected the same dataset as an earlier one.</w:t>
      </w:r>
    </w:p>
    <w:p>
      <w:pPr>
        <w:spacing w:after="80" w:before="80"/>
      </w:pPr>
      <w:r>
        <w:rPr>
          <w:rFonts w:ascii="Arial" w:cs="Arial" w:eastAsia="Arial" w:hAnsi="Arial"/>
          <w:color w:val="000000"/>
          <w:sz w:val="22"/>
          <w:szCs w:val="22"/>
        </w:rPr>
        <w:t xml:space="preserve">Prior-version lineage. When the examiner enables prior-version extraction during analysis, each extracted version is stored as its own analysis row linked to its parent document (analyses.source_analysis_id / version_number, schema revision 7). A document and the prior versions extracted from it form one lineage. In Cross-Document scope the graph groups prior versions by lineage by default: an image shared only between a document and its own prior versions is NOT counted as cross-document reuse, because sharing content between versions of the same file is expected. Only reuse that spans two or more distinct lineages is treated as cross-document. The examiner can disable grouping (GUI: uncheck “Group prior versions by lineage”; CLI: --separate-versions), reverting to counting every version as a separate document. The grouping state, the count of prior-version documents in view, and the version-reuse and cross-document image counts are embedded in each exhibit (toolbar and printable cover).</w:t>
      </w:r>
    </w:p>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spacing w:after="80" w:before="80"/>
      </w:pPr>
      <w:r>
        <w:rPr>
          <w:rFonts w:ascii="Arial" w:cs="Arial" w:eastAsia="Arial" w:hAnsi="Arial"/>
          <w:color w:val="000000"/>
          <w:sz w:val="22"/>
          <w:szCs w:val="22"/>
        </w:rPr>
        <w:t xml:space="preserve">When prior-version grouping is active (the default) and the database carries lineage columns, the HAVING clause counts distinct lineage roots — COUNT(DISTINCT COALESCE(a.source_analysis_id, a.id)) &gt; 1 — instead of distinct analysis ids, so versions of one document collapse to a single lineage. With grouping disabled, or on a pre-revision-7 database without lineage columns, it falls back to COUNT(DISTINCT p.analysis_id)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bright-red (#FA0F00) border of width 4, rendered on top of the risk-tier fill colour. This provides a second visual dimension: a cross-document image with a HIGH risk score shows a coral-red (#E24B4A) risk fill with a bright-red (#FA0F00) cross-document border, which remains distinguishable from the fill.</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'#FA0F00'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2"/>
      </w:pPr>
      <w:r>
        <w:rPr>
          <w:rFonts w:ascii="Arial" w:cs="Arial" w:eastAsia="Arial" w:hAnsi="Arial"/>
        </w:rPr>
        <w:t xml:space="preserve">5.3  Prior-Version Lineage Encoding</w:t>
      </w:r>
    </w:p>
    <w:p>
      <w:pPr>
        <w:spacing w:after="80" w:before="80"/>
      </w:pPr>
      <w:r>
        <w:rPr>
          <w:rFonts w:ascii="Arial" w:cs="Arial" w:eastAsia="Arial" w:hAnsi="Arial"/>
          <w:color w:val="000000"/>
          <w:sz w:val="22"/>
          <w:szCs w:val="22"/>
        </w:rPr>
        <w:t xml:space="preserve">The graph distinguishes genuine cross-document reuse from within-lineage (version) reuse, so an expected overlap between a document and its own prior version is not mistaken for independent reuse:</w:t>
      </w:r>
    </w:p>
    <w:p>
      <w:pPr>
        <w:pStyle w:val="ListParagraph"/>
        <w:numPr>
          <w:ilvl w:val="0"/>
          <w:numId w:val="2"/>
        </w:numPr>
        <w:spacing w:after="60" w:before="60"/>
      </w:pPr>
      <w:r>
        <w:rPr>
          <w:rFonts w:ascii="Arial" w:cs="Arial" w:eastAsia="Arial" w:hAnsi="Arial"/>
          <w:sz w:val="22"/>
          <w:szCs w:val="22"/>
        </w:rPr>
        <w:t xml:space="preserve">Cross-lineage reuse (an image in two or more distinct lineages) keeps the bright-red cross-document border (see 5.2) — the genuine signal.</w:t>
      </w:r>
    </w:p>
    <w:p>
      <w:pPr>
        <w:pStyle w:val="ListParagraph"/>
        <w:numPr>
          <w:ilvl w:val="0"/>
          <w:numId w:val="2"/>
        </w:numPr>
        <w:spacing w:after="60" w:before="60"/>
      </w:pPr>
      <w:r>
        <w:rPr>
          <w:rFonts w:ascii="Arial" w:cs="Arial" w:eastAsia="Arial" w:hAnsi="Arial"/>
          <w:sz w:val="22"/>
          <w:szCs w:val="22"/>
        </w:rPr>
        <w:t xml:space="preserve">Within-lineage reuse (an image shared only between a document and its own prior versions) is drawn with a violet (#8E7CC3) dashed border and flagged is_version_reuse in the image metadata.</w:t>
      </w:r>
    </w:p>
    <w:p>
      <w:pPr>
        <w:pStyle w:val="ListParagraph"/>
        <w:numPr>
          <w:ilvl w:val="0"/>
          <w:numId w:val="2"/>
        </w:numPr>
        <w:spacing w:after="60" w:before="60"/>
      </w:pPr>
      <w:r>
        <w:rPr>
          <w:rFonts w:ascii="Arial" w:cs="Arial" w:eastAsia="Arial" w:hAnsi="Arial"/>
          <w:sz w:val="22"/>
          <w:szCs w:val="22"/>
        </w:rPr>
        <w:t xml:space="preserve">Any placement inside a prior version is drawn with dashed edges, and prior-version document nodes use a muted blue (#6C8EBF) with a “(prior vN)” label suffix. This holds regardless of the grouping setting, so an image present in a prior version but absent from the current one is visible as a shared node reaching only into the dashed version subtree — a direct indicator that content was removed between versions.</w:t>
      </w:r>
    </w:p>
    <w:p>
      <w:pPr>
        <w:spacing w:after="80" w:before="80"/>
      </w:pPr>
      <w:r>
        <w:rPr>
          <w:rFonts w:ascii="Arial" w:cs="Arial" w:eastAsia="Arial" w:hAnsi="Arial"/>
          <w:color w:val="000000"/>
          <w:sz w:val="22"/>
          <w:szCs w:val="22"/>
        </w:rPr>
        <w:t xml:space="preserve">The CLI summary and the image and document metadata expose the corresponding counts (version-reuse images, prior-version documents) for the exhibit record.</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 bright-red cross-document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v1.0.3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v1.0.3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