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CSPX — iShares Core S&amp;P 500 UCITS ETF (Acc)</w:t>
      </w:r>
    </w:p>
    <w:p>
      <w:pPr>
        <w:pStyle w:val="Heading2"/>
        <w:spacing w:after="200"/>
      </w:pPr>
      <w:r>
        <w:t xml:space="preserve">Informe de tesis de inversión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DA100" w:val="clear"/>
            <w:tcMar>
              <w:top w:type="dxa" w:w="60"/>
              <w:left w:type="dxa" w:w="100"/>
              <w:bottom w:type="dxa" w:w="60"/>
              <w:right w:type="dxa" w:w="100"/>
            </w:tcMar>
          </w:tcPr>
          <w:p>
            <w:r>
              <w:rPr>
                <w:b/>
                <w:bCs/>
                <w:color w:val="FFFFFF"/>
                <w:sz w:val="20"/>
                <w:szCs w:val="20"/>
              </w:rPr>
              <w:t xml:space="preserve">Campo</w:t>
            </w:r>
          </w:p>
        </w:tc>
        <w:tc>
          <w:tcPr>
            <w:tcW w:type="dxa" w:w="6000"/>
            <w:shd w:fill="EDA100" w:val="clear"/>
            <w:tcMar>
              <w:top w:type="dxa" w:w="60"/>
              <w:left w:type="dxa" w:w="100"/>
              <w:bottom w:type="dxa" w:w="60"/>
              <w:right w:type="dxa" w:w="100"/>
            </w:tcMar>
          </w:tcPr>
          <w:p>
            <w:r>
              <w:rPr>
                <w:b/>
                <w:bCs/>
                <w:color w:val="FFFFFF"/>
                <w:sz w:val="20"/>
                <w:szCs w:val="20"/>
              </w:rPr>
              <w:t xml:space="preserve">Valor</w:t>
            </w:r>
          </w:p>
        </w:tc>
      </w:tr>
      <w:tr>
        <w:tc>
          <w:tcPr>
            <w:tcW w:type="dxa" w:w="3000"/>
            <w:tcMar>
              <w:top w:type="dxa" w:w="60"/>
              <w:left w:type="dxa" w:w="100"/>
              <w:bottom w:type="dxa" w:w="60"/>
              <w:right w:type="dxa" w:w="100"/>
            </w:tcMar>
          </w:tcPr>
          <w:p>
            <w:r>
              <w:rPr>
                <w:b w:val="false"/>
                <w:bCs w:val="false"/>
                <w:sz w:val="20"/>
                <w:szCs w:val="20"/>
              </w:rPr>
              <w:t xml:space="preserve">ISIN</w:t>
            </w:r>
          </w:p>
        </w:tc>
        <w:tc>
          <w:tcPr>
            <w:tcW w:type="dxa" w:w="6000"/>
            <w:tcMar>
              <w:top w:type="dxa" w:w="60"/>
              <w:left w:type="dxa" w:w="100"/>
              <w:bottom w:type="dxa" w:w="60"/>
              <w:right w:type="dxa" w:w="100"/>
            </w:tcMar>
          </w:tcPr>
          <w:p>
            <w:r>
              <w:rPr>
                <w:b w:val="false"/>
                <w:bCs w:val="false"/>
                <w:sz w:val="20"/>
                <w:szCs w:val="20"/>
              </w:rPr>
              <w:t xml:space="preserve">IE00B5BMR087</w:t>
            </w:r>
          </w:p>
        </w:tc>
      </w:tr>
      <w:tr>
        <w:tc>
          <w:tcPr>
            <w:tcW w:type="dxa" w:w="3000"/>
            <w:tcMar>
              <w:top w:type="dxa" w:w="60"/>
              <w:left w:type="dxa" w:w="100"/>
              <w:bottom w:type="dxa" w:w="60"/>
              <w:right w:type="dxa" w:w="100"/>
            </w:tcMar>
          </w:tcPr>
          <w:p>
            <w:r>
              <w:rPr>
                <w:b w:val="false"/>
                <w:bCs w:val="false"/>
                <w:sz w:val="20"/>
                <w:szCs w:val="20"/>
              </w:rPr>
              <w:t xml:space="preserve">Bolsa / mercado</w:t>
            </w:r>
          </w:p>
        </w:tc>
        <w:tc>
          <w:tcPr>
            <w:tcW w:type="dxa" w:w="6000"/>
            <w:tcMar>
              <w:top w:type="dxa" w:w="60"/>
              <w:left w:type="dxa" w:w="100"/>
              <w:bottom w:type="dxa" w:w="60"/>
              <w:right w:type="dxa" w:w="100"/>
            </w:tcMar>
          </w:tcPr>
          <w:p>
            <w:r>
              <w:rPr>
                <w:b w:val="false"/>
                <w:bCs w:val="false"/>
                <w:sz w:val="20"/>
                <w:szCs w:val="20"/>
              </w:rPr>
              <w:t xml:space="preserve">UCITS irlandés — LSE (CSPX/CSP1), Xetra (SXR8), Euronext Ámsterdam (CSPX), SIX (CSPX), Borsa Italiana (CSSPX)</w:t>
            </w:r>
          </w:p>
        </w:tc>
      </w:tr>
      <w:tr>
        <w:tc>
          <w:tcPr>
            <w:tcW w:type="dxa" w:w="3000"/>
            <w:tcMar>
              <w:top w:type="dxa" w:w="60"/>
              <w:left w:type="dxa" w:w="100"/>
              <w:bottom w:type="dxa" w:w="60"/>
              <w:right w:type="dxa" w:w="100"/>
            </w:tcMar>
          </w:tcPr>
          <w:p>
            <w:r>
              <w:rPr>
                <w:b w:val="false"/>
                <w:bCs w:val="false"/>
                <w:sz w:val="20"/>
                <w:szCs w:val="20"/>
              </w:rPr>
              <w:t xml:space="preserve">Fecha de análisis</w:t>
            </w:r>
          </w:p>
        </w:tc>
        <w:tc>
          <w:tcPr>
            <w:tcW w:type="dxa" w:w="6000"/>
            <w:tcMar>
              <w:top w:type="dxa" w:w="60"/>
              <w:left w:type="dxa" w:w="100"/>
              <w:bottom w:type="dxa" w:w="60"/>
              <w:right w:type="dxa" w:w="100"/>
            </w:tcMar>
          </w:tcPr>
          <w:p>
            <w:r>
              <w:rPr>
                <w:b w:val="false"/>
                <w:bCs w:val="false"/>
                <w:sz w:val="20"/>
                <w:szCs w:val="20"/>
              </w:rPr>
              <w:t xml:space="preserve">2026-07-29</w:t>
            </w:r>
          </w:p>
        </w:tc>
      </w:tr>
      <w:tr>
        <w:tc>
          <w:tcPr>
            <w:tcW w:type="dxa" w:w="3000"/>
            <w:tcMar>
              <w:top w:type="dxa" w:w="60"/>
              <w:left w:type="dxa" w:w="100"/>
              <w:bottom w:type="dxa" w:w="60"/>
              <w:right w:type="dxa" w:w="100"/>
            </w:tcMar>
          </w:tcPr>
          <w:p>
            <w:r>
              <w:rPr>
                <w:b w:val="false"/>
                <w:bCs w:val="false"/>
                <w:sz w:val="20"/>
                <w:szCs w:val="20"/>
              </w:rPr>
              <w:t xml:space="preserve">Fecha de corte de datos</w:t>
            </w:r>
          </w:p>
        </w:tc>
        <w:tc>
          <w:tcPr>
            <w:tcW w:type="dxa" w:w="6000"/>
            <w:tcMar>
              <w:top w:type="dxa" w:w="60"/>
              <w:left w:type="dxa" w:w="100"/>
              <w:bottom w:type="dxa" w:w="60"/>
              <w:right w:type="dxa" w:w="100"/>
            </w:tcMar>
          </w:tcPr>
          <w:p>
            <w:r>
              <w:rPr>
                <w:b w:val="false"/>
                <w:bCs w:val="false"/>
                <w:sz w:val="20"/>
                <w:szCs w:val="20"/>
              </w:rPr>
              <w:t xml:space="preserve">2026-07-24 a 2026-07-29 (fecha exacta junto a cada cifra)</w:t>
            </w:r>
          </w:p>
        </w:tc>
      </w:tr>
      <w:tr>
        <w:tc>
          <w:tcPr>
            <w:tcW w:type="dxa" w:w="3000"/>
            <w:tcMar>
              <w:top w:type="dxa" w:w="60"/>
              <w:left w:type="dxa" w:w="100"/>
              <w:bottom w:type="dxa" w:w="60"/>
              <w:right w:type="dxa" w:w="100"/>
            </w:tcMar>
          </w:tcPr>
          <w:p>
            <w:r>
              <w:rPr>
                <w:b w:val="false"/>
                <w:bCs w:val="false"/>
                <w:sz w:val="20"/>
                <w:szCs w:val="20"/>
              </w:rPr>
              <w:t xml:space="preserve">Analista / agente</w:t>
            </w:r>
          </w:p>
        </w:tc>
        <w:tc>
          <w:tcPr>
            <w:tcW w:type="dxa" w:w="6000"/>
            <w:tcMar>
              <w:top w:type="dxa" w:w="60"/>
              <w:left w:type="dxa" w:w="100"/>
              <w:bottom w:type="dxa" w:w="60"/>
              <w:right w:type="dxa" w:w="100"/>
            </w:tcMar>
          </w:tcPr>
          <w:p>
            <w:r>
              <w:rPr>
                <w:b w:val="false"/>
                <w:bCs w:val="false"/>
                <w:sz w:val="20"/>
                <w:szCs w:val="20"/>
              </w:rPr>
              <w:t xml:space="preserve">bolsa-europa (sub-agente especializado, repositorio Asesor Financiero)</w:t>
            </w:r>
          </w:p>
        </w:tc>
      </w:tr>
    </w:tbl>
    <w:p>
      <w:pPr>
        <w:spacing w:after="140"/>
      </w:pPr>
      <w:r>
        <w:rPr>
          <w:b w:val="false"/>
          <w:bCs w:val="false"/>
          <w:i w:val="false"/>
          <w:iCs w:val="false"/>
        </w:rPr>
        <w:t xml:space="preserve"/>
      </w:r>
    </w:p>
    <w:p>
      <w:pPr>
        <w:pStyle w:val="Heading2"/>
        <w:spacing w:after="120" w:before="260"/>
      </w:pPr>
      <w:r>
        <w:t xml:space="preserve">Resumen ejecutivo</w:t>
      </w:r>
    </w:p>
    <w:p>
      <w:pPr>
        <w:spacing w:after="140"/>
      </w:pPr>
      <w:r>
        <w:rPr>
          <w:b w:val="false"/>
          <w:bCs w:val="false"/>
          <w:i w:val="false"/>
          <w:iCs w:val="false"/>
        </w:rPr>
        <w:t xml:space="preserve">CSPX es uno de los mayores ETFs UCITS de Europa que replica el S&amp;P 500 mediante réplica física completa (compra directa de las ~500 acciones del índice), con política de acumulación (reinvierte los dividendos automáticamente) y un TER (comisión anual total) de apenas 0.07% (Fuente: Morningstar / Yahoo Finance, consultado 2026-07-29). Su domicilio irlandés le da ventajas fiscales frente a un ETF domiciliado en EE. UU. para un inversor no residente.</w:t>
      </w:r>
    </w:p>
    <w:p>
      <w:pPr>
        <w:spacing w:after="140"/>
      </w:pPr>
      <w:r>
        <w:rPr>
          <w:b w:val="false"/>
          <w:bCs w:val="false"/>
          <w:i w:val="false"/>
          <w:iCs w:val="false"/>
        </w:rPr>
        <w:t xml:space="preserve">En los últimos 7 años acumula rentabilidades muy elevadas, con la única excepción de 2022 (caída por el ciclo de subidas de tasas de la Fed), impulsadas en gran medida por el rally de las grandes tecnológicas de IA ("Magnificent Seven"), que a fecha de corte concentran cerca de un 31.5%-38% del índice según la métrica usada (Fuente: cobertura agregada citando Forbes / State Street, 2026-07-24).</w:t>
      </w:r>
    </w:p>
    <w:p>
      <w:pPr>
        <w:spacing w:after="140"/>
      </w:pPr>
      <w:r>
        <w:rPr>
          <w:b w:val="false"/>
          <w:bCs w:val="false"/>
          <w:i w:val="false"/>
          <w:iCs w:val="false"/>
        </w:rPr>
        <w:t xml:space="preserve">El 29 de julio de 2026, la Reserva Federal mantuvo sin cambios su tasa de referencia en el rango 3.50%-3.75%, con una votación dividida 9-3 y tres disidencias a favor de subir tasas por inflación persistente ligada a aranceles y al shock energético del conflicto en Oriente Medio (Fuente: CNBC / Reuters / comunicado de la Reserva Federal, 2026-07-29); el BCE mantuvo sus tipos el 23-jul-2026 en 2.25% por decisión unánime (Fuente: BCE, 2026-07-23).</w:t>
      </w:r>
    </w:p>
    <w:p>
      <w:pPr>
        <w:spacing w:after="140"/>
      </w:pPr>
      <w:r>
        <w:rPr>
          <w:b w:val="false"/>
          <w:bCs w:val="false"/>
          <w:i w:val="false"/>
          <w:iCs w:val="false"/>
        </w:rPr>
        <w:t xml:space="preserve">Para un inversor europeo, CSPX es un vehículo "core" eficiente en costes para ganar exposición a la renta variable estadounidense, pero con dos riesgos estructurales relevantes: la concentración tecnológica del índice subyacente y el riesgo cambiario EUR/USD, GBP/USD y CHF/USD, ya que el fondo no cubre divisa ("unhedged").</w:t>
      </w:r>
    </w:p>
    <w:p>
      <w:pPr>
        <w:pStyle w:val="Heading2"/>
        <w:spacing w:after="120" w:before="260"/>
      </w:pPr>
      <w:r>
        <w:t xml:space="preserve">Datos clave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00"/>
      </w:tblGrid>
      <w:tr>
        <w:tc>
          <w:tcPr>
            <w:tcW w:type="dxa" w:w="2600"/>
            <w:shd w:fill="EDA100" w:val="clear"/>
            <w:tcMar>
              <w:top w:type="dxa" w:w="60"/>
              <w:left w:type="dxa" w:w="100"/>
              <w:bottom w:type="dxa" w:w="60"/>
              <w:right w:type="dxa" w:w="100"/>
            </w:tcMar>
          </w:tcPr>
          <w:p>
            <w:r>
              <w:rPr>
                <w:b/>
                <w:bCs/>
                <w:color w:val="FFFFFF"/>
                <w:sz w:val="20"/>
                <w:szCs w:val="20"/>
              </w:rPr>
              <w:t xml:space="preserve">Dato</w:t>
            </w:r>
          </w:p>
        </w:tc>
        <w:tc>
          <w:tcPr>
            <w:tcW w:type="dxa" w:w="3600"/>
            <w:shd w:fill="EDA100" w:val="clear"/>
            <w:tcMar>
              <w:top w:type="dxa" w:w="60"/>
              <w:left w:type="dxa" w:w="100"/>
              <w:bottom w:type="dxa" w:w="60"/>
              <w:right w:type="dxa" w:w="100"/>
            </w:tcMar>
          </w:tcPr>
          <w:p>
            <w:r>
              <w:rPr>
                <w:b/>
                <w:bCs/>
                <w:color w:val="FFFFFF"/>
                <w:sz w:val="20"/>
                <w:szCs w:val="20"/>
              </w:rPr>
              <w:t xml:space="preserve">Valor</w:t>
            </w:r>
          </w:p>
        </w:tc>
        <w:tc>
          <w:tcPr>
            <w:tcW w:type="dxa" w:w="2800"/>
            <w:shd w:fill="EDA100" w:val="clear"/>
            <w:tcMar>
              <w:top w:type="dxa" w:w="60"/>
              <w:left w:type="dxa" w:w="100"/>
              <w:bottom w:type="dxa" w:w="60"/>
              <w:right w:type="dxa" w:w="100"/>
            </w:tcMar>
          </w:tcPr>
          <w:p>
            <w:r>
              <w:rPr>
                <w:b/>
                <w:bCs/>
                <w:color w:val="FFFFFF"/>
                <w:sz w:val="20"/>
                <w:szCs w:val="20"/>
              </w:rPr>
              <w:t xml:space="preserve">Fuente / fecha</w:t>
            </w:r>
          </w:p>
        </w:tc>
      </w:tr>
      <w:tr>
        <w:tc>
          <w:tcPr>
            <w:tcW w:type="dxa" w:w="2600"/>
            <w:tcMar>
              <w:top w:type="dxa" w:w="60"/>
              <w:left w:type="dxa" w:w="100"/>
              <w:bottom w:type="dxa" w:w="60"/>
              <w:right w:type="dxa" w:w="100"/>
            </w:tcMar>
          </w:tcPr>
          <w:p>
            <w:r>
              <w:rPr>
                <w:b w:val="false"/>
                <w:bCs w:val="false"/>
                <w:sz w:val="20"/>
                <w:szCs w:val="20"/>
              </w:rPr>
              <w:t xml:space="preserve">Precio (LSE, USD)</w:t>
            </w:r>
          </w:p>
        </w:tc>
        <w:tc>
          <w:tcPr>
            <w:tcW w:type="dxa" w:w="3600"/>
            <w:tcMar>
              <w:top w:type="dxa" w:w="60"/>
              <w:left w:type="dxa" w:w="100"/>
              <w:bottom w:type="dxa" w:w="60"/>
              <w:right w:type="dxa" w:w="100"/>
            </w:tcMar>
          </w:tcPr>
          <w:p>
            <w:r>
              <w:rPr>
                <w:b w:val="false"/>
                <w:bCs w:val="false"/>
                <w:sz w:val="20"/>
                <w:szCs w:val="20"/>
              </w:rPr>
              <w:t xml:space="preserve">~793.80 USD (cierre 29-jul-2026)</w:t>
            </w:r>
          </w:p>
        </w:tc>
        <w:tc>
          <w:tcPr>
            <w:tcW w:type="dxa" w:w="2800"/>
            <w:tcMar>
              <w:top w:type="dxa" w:w="60"/>
              <w:left w:type="dxa" w:w="100"/>
              <w:bottom w:type="dxa" w:w="60"/>
              <w:right w:type="dxa" w:w="100"/>
            </w:tcMar>
          </w:tcPr>
          <w:p>
            <w:r>
              <w:rPr>
                <w:b w:val="false"/>
                <w:bCs w:val="false"/>
                <w:sz w:val="20"/>
                <w:szCs w:val="20"/>
              </w:rPr>
              <w:t xml:space="preserve">Investing.com, 2026-07-29</w:t>
            </w:r>
          </w:p>
        </w:tc>
      </w:tr>
      <w:tr>
        <w:tc>
          <w:tcPr>
            <w:tcW w:type="dxa" w:w="2600"/>
            <w:tcMar>
              <w:top w:type="dxa" w:w="60"/>
              <w:left w:type="dxa" w:w="100"/>
              <w:bottom w:type="dxa" w:w="60"/>
              <w:right w:type="dxa" w:w="100"/>
            </w:tcMar>
          </w:tcPr>
          <w:p>
            <w:r>
              <w:rPr>
                <w:b w:val="false"/>
                <w:bCs w:val="false"/>
                <w:sz w:val="20"/>
                <w:szCs w:val="20"/>
              </w:rPr>
              <w:t xml:space="preserve">Rango 52 semanas (CSPX.L)</w:t>
            </w:r>
          </w:p>
        </w:tc>
        <w:tc>
          <w:tcPr>
            <w:tcW w:type="dxa" w:w="3600"/>
            <w:tcMar>
              <w:top w:type="dxa" w:w="60"/>
              <w:left w:type="dxa" w:w="100"/>
              <w:bottom w:type="dxa" w:w="60"/>
              <w:right w:type="dxa" w:w="100"/>
            </w:tcMar>
          </w:tcPr>
          <w:p>
            <w:r>
              <w:rPr>
                <w:b w:val="false"/>
                <w:bCs w:val="false"/>
                <w:sz w:val="20"/>
                <w:szCs w:val="20"/>
              </w:rPr>
              <w:t xml:space="preserve">665.43 – 818.43 USD</w:t>
            </w:r>
          </w:p>
        </w:tc>
        <w:tc>
          <w:tcPr>
            <w:tcW w:type="dxa" w:w="2800"/>
            <w:tcMar>
              <w:top w:type="dxa" w:w="60"/>
              <w:left w:type="dxa" w:w="100"/>
              <w:bottom w:type="dxa" w:w="60"/>
              <w:right w:type="dxa" w:w="100"/>
            </w:tcMar>
          </w:tcPr>
          <w:p>
            <w:r>
              <w:rPr>
                <w:b w:val="false"/>
                <w:bCs w:val="false"/>
                <w:sz w:val="20"/>
                <w:szCs w:val="20"/>
              </w:rPr>
              <w:t xml:space="preserve">Investing.com, 2026-07-29</w:t>
            </w:r>
          </w:p>
        </w:tc>
      </w:tr>
      <w:tr>
        <w:tc>
          <w:tcPr>
            <w:tcW w:type="dxa" w:w="2600"/>
            <w:tcMar>
              <w:top w:type="dxa" w:w="60"/>
              <w:left w:type="dxa" w:w="100"/>
              <w:bottom w:type="dxa" w:w="60"/>
              <w:right w:type="dxa" w:w="100"/>
            </w:tcMar>
          </w:tcPr>
          <w:p>
            <w:r>
              <w:rPr>
                <w:b w:val="false"/>
                <w:bCs w:val="false"/>
                <w:sz w:val="20"/>
                <w:szCs w:val="20"/>
              </w:rPr>
              <w:t xml:space="preserve">Precio línea Ámsterdam (EUR)</w:t>
            </w:r>
          </w:p>
        </w:tc>
        <w:tc>
          <w:tcPr>
            <w:tcW w:type="dxa" w:w="3600"/>
            <w:tcMar>
              <w:top w:type="dxa" w:w="60"/>
              <w:left w:type="dxa" w:w="100"/>
              <w:bottom w:type="dxa" w:w="60"/>
              <w:right w:type="dxa" w:w="100"/>
            </w:tcMar>
          </w:tcPr>
          <w:p>
            <w:r>
              <w:rPr>
                <w:b w:val="false"/>
                <w:bCs w:val="false"/>
                <w:sz w:val="20"/>
                <w:szCs w:val="20"/>
              </w:rPr>
              <w:t xml:space="preserve">~701.80 EUR</w:t>
            </w:r>
          </w:p>
        </w:tc>
        <w:tc>
          <w:tcPr>
            <w:tcW w:type="dxa" w:w="2800"/>
            <w:tcMar>
              <w:top w:type="dxa" w:w="60"/>
              <w:left w:type="dxa" w:w="100"/>
              <w:bottom w:type="dxa" w:w="60"/>
              <w:right w:type="dxa" w:w="100"/>
            </w:tcMar>
          </w:tcPr>
          <w:p>
            <w:r>
              <w:rPr>
                <w:b w:val="false"/>
                <w:bCs w:val="false"/>
                <w:sz w:val="20"/>
                <w:szCs w:val="20"/>
              </w:rPr>
              <w:t xml:space="preserve">Yahoo Finance (CSPX.AS), 2026-07-29</w:t>
            </w:r>
          </w:p>
        </w:tc>
      </w:tr>
      <w:tr>
        <w:tc>
          <w:tcPr>
            <w:tcW w:type="dxa" w:w="2600"/>
            <w:tcMar>
              <w:top w:type="dxa" w:w="60"/>
              <w:left w:type="dxa" w:w="100"/>
              <w:bottom w:type="dxa" w:w="60"/>
              <w:right w:type="dxa" w:w="100"/>
            </w:tcMar>
          </w:tcPr>
          <w:p>
            <w:r>
              <w:rPr>
                <w:b w:val="false"/>
                <w:bCs w:val="false"/>
                <w:sz w:val="20"/>
                <w:szCs w:val="20"/>
              </w:rPr>
              <w:t xml:space="preserve">TER</w:t>
            </w:r>
          </w:p>
        </w:tc>
        <w:tc>
          <w:tcPr>
            <w:tcW w:type="dxa" w:w="3600"/>
            <w:tcMar>
              <w:top w:type="dxa" w:w="60"/>
              <w:left w:type="dxa" w:w="100"/>
              <w:bottom w:type="dxa" w:w="60"/>
              <w:right w:type="dxa" w:w="100"/>
            </w:tcMar>
          </w:tcPr>
          <w:p>
            <w:r>
              <w:rPr>
                <w:b w:val="false"/>
                <w:bCs w:val="false"/>
                <w:sz w:val="20"/>
                <w:szCs w:val="20"/>
              </w:rPr>
              <w:t xml:space="preserve">0.07%</w:t>
            </w:r>
          </w:p>
        </w:tc>
        <w:tc>
          <w:tcPr>
            <w:tcW w:type="dxa" w:w="2800"/>
            <w:tcMar>
              <w:top w:type="dxa" w:w="60"/>
              <w:left w:type="dxa" w:w="100"/>
              <w:bottom w:type="dxa" w:w="60"/>
              <w:right w:type="dxa" w:w="100"/>
            </w:tcMar>
          </w:tcPr>
          <w:p>
            <w:r>
              <w:rPr>
                <w:b w:val="false"/>
                <w:bCs w:val="false"/>
                <w:sz w:val="20"/>
                <w:szCs w:val="20"/>
              </w:rPr>
              <w:t xml:space="preserve">Morningstar / Yahoo Finance, 2026-07-29</w:t>
            </w:r>
          </w:p>
        </w:tc>
      </w:tr>
      <w:tr>
        <w:tc>
          <w:tcPr>
            <w:tcW w:type="dxa" w:w="2600"/>
            <w:tcMar>
              <w:top w:type="dxa" w:w="60"/>
              <w:left w:type="dxa" w:w="100"/>
              <w:bottom w:type="dxa" w:w="60"/>
              <w:right w:type="dxa" w:w="100"/>
            </w:tcMar>
          </w:tcPr>
          <w:p>
            <w:r>
              <w:rPr>
                <w:b w:val="false"/>
                <w:bCs w:val="false"/>
                <w:sz w:val="20"/>
                <w:szCs w:val="20"/>
              </w:rPr>
              <w:t xml:space="preserve">Método de réplica</w:t>
            </w:r>
          </w:p>
        </w:tc>
        <w:tc>
          <w:tcPr>
            <w:tcW w:type="dxa" w:w="3600"/>
            <w:tcMar>
              <w:top w:type="dxa" w:w="60"/>
              <w:left w:type="dxa" w:w="100"/>
              <w:bottom w:type="dxa" w:w="60"/>
              <w:right w:type="dxa" w:w="100"/>
            </w:tcMar>
          </w:tcPr>
          <w:p>
            <w:r>
              <w:rPr>
                <w:b w:val="false"/>
                <w:bCs w:val="false"/>
                <w:sz w:val="20"/>
                <w:szCs w:val="20"/>
              </w:rPr>
              <w:t xml:space="preserve">Física, completa</w:t>
            </w:r>
          </w:p>
        </w:tc>
        <w:tc>
          <w:tcPr>
            <w:tcW w:type="dxa" w:w="2800"/>
            <w:tcMar>
              <w:top w:type="dxa" w:w="60"/>
              <w:left w:type="dxa" w:w="100"/>
              <w:bottom w:type="dxa" w:w="60"/>
              <w:right w:type="dxa" w:w="100"/>
            </w:tcMar>
          </w:tcPr>
          <w:p>
            <w:r>
              <w:rPr>
                <w:b w:val="false"/>
                <w:bCs w:val="false"/>
                <w:sz w:val="20"/>
                <w:szCs w:val="20"/>
              </w:rPr>
              <w:t xml:space="preserve">Morningstar, 2026-07-29</w:t>
            </w:r>
          </w:p>
        </w:tc>
      </w:tr>
      <w:tr>
        <w:tc>
          <w:tcPr>
            <w:tcW w:type="dxa" w:w="2600"/>
            <w:tcMar>
              <w:top w:type="dxa" w:w="60"/>
              <w:left w:type="dxa" w:w="100"/>
              <w:bottom w:type="dxa" w:w="60"/>
              <w:right w:type="dxa" w:w="100"/>
            </w:tcMar>
          </w:tcPr>
          <w:p>
            <w:r>
              <w:rPr>
                <w:b w:val="false"/>
                <w:bCs w:val="false"/>
                <w:sz w:val="20"/>
                <w:szCs w:val="20"/>
              </w:rPr>
              <w:t xml:space="preserve">Política de reparto</w:t>
            </w:r>
          </w:p>
        </w:tc>
        <w:tc>
          <w:tcPr>
            <w:tcW w:type="dxa" w:w="3600"/>
            <w:tcMar>
              <w:top w:type="dxa" w:w="60"/>
              <w:left w:type="dxa" w:w="100"/>
              <w:bottom w:type="dxa" w:w="60"/>
              <w:right w:type="dxa" w:w="100"/>
            </w:tcMar>
          </w:tcPr>
          <w:p>
            <w:r>
              <w:rPr>
                <w:b w:val="false"/>
                <w:bCs w:val="false"/>
                <w:sz w:val="20"/>
                <w:szCs w:val="20"/>
              </w:rPr>
              <w:t xml:space="preserve">Acumulación (Acc)</w:t>
            </w:r>
          </w:p>
        </w:tc>
        <w:tc>
          <w:tcPr>
            <w:tcW w:type="dxa" w:w="2800"/>
            <w:tcMar>
              <w:top w:type="dxa" w:w="60"/>
              <w:left w:type="dxa" w:w="100"/>
              <w:bottom w:type="dxa" w:w="60"/>
              <w:right w:type="dxa" w:w="100"/>
            </w:tcMar>
          </w:tcPr>
          <w:p>
            <w:r>
              <w:rPr>
                <w:b w:val="false"/>
                <w:bCs w:val="false"/>
                <w:sz w:val="20"/>
                <w:szCs w:val="20"/>
              </w:rPr>
              <w:t xml:space="preserve">Morningstar / Yahoo Finance, 2026-07-29</w:t>
            </w:r>
          </w:p>
        </w:tc>
      </w:tr>
      <w:tr>
        <w:tc>
          <w:tcPr>
            <w:tcW w:type="dxa" w:w="2600"/>
            <w:tcMar>
              <w:top w:type="dxa" w:w="60"/>
              <w:left w:type="dxa" w:w="100"/>
              <w:bottom w:type="dxa" w:w="60"/>
              <w:right w:type="dxa" w:w="100"/>
            </w:tcMar>
          </w:tcPr>
          <w:p>
            <w:r>
              <w:rPr>
                <w:b w:val="false"/>
                <w:bCs w:val="false"/>
                <w:sz w:val="20"/>
                <w:szCs w:val="20"/>
              </w:rPr>
              <w:t xml:space="preserve">Divisa base del fondo</w:t>
            </w:r>
          </w:p>
        </w:tc>
        <w:tc>
          <w:tcPr>
            <w:tcW w:type="dxa" w:w="3600"/>
            <w:tcMar>
              <w:top w:type="dxa" w:w="60"/>
              <w:left w:type="dxa" w:w="100"/>
              <w:bottom w:type="dxa" w:w="60"/>
              <w:right w:type="dxa" w:w="100"/>
            </w:tcMar>
          </w:tcPr>
          <w:p>
            <w:r>
              <w:rPr>
                <w:b w:val="false"/>
                <w:bCs w:val="false"/>
                <w:sz w:val="20"/>
                <w:szCs w:val="20"/>
              </w:rPr>
              <w:t xml:space="preserve">USD</w:t>
            </w:r>
          </w:p>
        </w:tc>
        <w:tc>
          <w:tcPr>
            <w:tcW w:type="dxa" w:w="2800"/>
            <w:tcMar>
              <w:top w:type="dxa" w:w="60"/>
              <w:left w:type="dxa" w:w="100"/>
              <w:bottom w:type="dxa" w:w="60"/>
              <w:right w:type="dxa" w:w="100"/>
            </w:tcMar>
          </w:tcPr>
          <w:p>
            <w:r>
              <w:rPr>
                <w:b w:val="false"/>
                <w:bCs w:val="false"/>
                <w:sz w:val="20"/>
                <w:szCs w:val="20"/>
              </w:rPr>
              <w:t xml:space="preserve">Yahoo Finance / Morningstar, 2026-07-29</w:t>
            </w:r>
          </w:p>
        </w:tc>
      </w:tr>
      <w:tr>
        <w:tc>
          <w:tcPr>
            <w:tcW w:type="dxa" w:w="2600"/>
            <w:tcMar>
              <w:top w:type="dxa" w:w="60"/>
              <w:left w:type="dxa" w:w="100"/>
              <w:bottom w:type="dxa" w:w="60"/>
              <w:right w:type="dxa" w:w="100"/>
            </w:tcMar>
          </w:tcPr>
          <w:p>
            <w:r>
              <w:rPr>
                <w:b w:val="false"/>
                <w:bCs w:val="false"/>
                <w:sz w:val="20"/>
                <w:szCs w:val="20"/>
              </w:rPr>
              <w:t xml:space="preserve">Domicilio</w:t>
            </w:r>
          </w:p>
        </w:tc>
        <w:tc>
          <w:tcPr>
            <w:tcW w:type="dxa" w:w="3600"/>
            <w:tcMar>
              <w:top w:type="dxa" w:w="60"/>
              <w:left w:type="dxa" w:w="100"/>
              <w:bottom w:type="dxa" w:w="60"/>
              <w:right w:type="dxa" w:w="100"/>
            </w:tcMar>
          </w:tcPr>
          <w:p>
            <w:r>
              <w:rPr>
                <w:b w:val="false"/>
                <w:bCs w:val="false"/>
                <w:sz w:val="20"/>
                <w:szCs w:val="20"/>
              </w:rPr>
              <w:t xml:space="preserve">Irlanda</w:t>
            </w:r>
          </w:p>
        </w:tc>
        <w:tc>
          <w:tcPr>
            <w:tcW w:type="dxa" w:w="2800"/>
            <w:tcMar>
              <w:top w:type="dxa" w:w="60"/>
              <w:left w:type="dxa" w:w="100"/>
              <w:bottom w:type="dxa" w:w="60"/>
              <w:right w:type="dxa" w:w="100"/>
            </w:tcMar>
          </w:tcPr>
          <w:p>
            <w:r>
              <w:rPr>
                <w:b w:val="false"/>
                <w:bCs w:val="false"/>
                <w:sz w:val="20"/>
                <w:szCs w:val="20"/>
              </w:rPr>
              <w:t xml:space="preserve">Morningstar / ESMA (UCITS), 2026-07-29</w:t>
            </w:r>
          </w:p>
        </w:tc>
      </w:tr>
      <w:tr>
        <w:tc>
          <w:tcPr>
            <w:tcW w:type="dxa" w:w="2600"/>
            <w:tcMar>
              <w:top w:type="dxa" w:w="60"/>
              <w:left w:type="dxa" w:w="100"/>
              <w:bottom w:type="dxa" w:w="60"/>
              <w:right w:type="dxa" w:w="100"/>
            </w:tcMar>
          </w:tcPr>
          <w:p>
            <w:r>
              <w:rPr>
                <w:b w:val="false"/>
                <w:bCs w:val="false"/>
                <w:sz w:val="20"/>
                <w:szCs w:val="20"/>
              </w:rPr>
              <w:t xml:space="preserve">Fecha de lanzamiento</w:t>
            </w:r>
          </w:p>
        </w:tc>
        <w:tc>
          <w:tcPr>
            <w:tcW w:type="dxa" w:w="3600"/>
            <w:tcMar>
              <w:top w:type="dxa" w:w="60"/>
              <w:left w:type="dxa" w:w="100"/>
              <w:bottom w:type="dxa" w:w="60"/>
              <w:right w:type="dxa" w:w="100"/>
            </w:tcMar>
          </w:tcPr>
          <w:p>
            <w:r>
              <w:rPr>
                <w:b w:val="false"/>
                <w:bCs w:val="false"/>
                <w:sz w:val="20"/>
                <w:szCs w:val="20"/>
              </w:rPr>
              <w:t xml:space="preserve">19-may-2010 (una fuente indica 18-may-2010)</w:t>
            </w:r>
          </w:p>
        </w:tc>
        <w:tc>
          <w:tcPr>
            <w:tcW w:type="dxa" w:w="2800"/>
            <w:tcMar>
              <w:top w:type="dxa" w:w="60"/>
              <w:left w:type="dxa" w:w="100"/>
              <w:bottom w:type="dxa" w:w="60"/>
              <w:right w:type="dxa" w:w="100"/>
            </w:tcMar>
          </w:tcPr>
          <w:p>
            <w:r>
              <w:rPr>
                <w:b w:val="false"/>
                <w:bCs w:val="false"/>
                <w:sz w:val="20"/>
                <w:szCs w:val="20"/>
              </w:rPr>
              <w:t xml:space="preserve">Ficha previa del repositorio (justETF), 2026-07-24</w:t>
            </w:r>
          </w:p>
        </w:tc>
      </w:tr>
      <w:tr>
        <w:tc>
          <w:tcPr>
            <w:tcW w:type="dxa" w:w="2600"/>
            <w:tcMar>
              <w:top w:type="dxa" w:w="60"/>
              <w:left w:type="dxa" w:w="100"/>
              <w:bottom w:type="dxa" w:w="60"/>
              <w:right w:type="dxa" w:w="100"/>
            </w:tcMar>
          </w:tcPr>
          <w:p>
            <w:r>
              <w:rPr>
                <w:b w:val="false"/>
                <w:bCs w:val="false"/>
                <w:sz w:val="20"/>
                <w:szCs w:val="20"/>
              </w:rPr>
              <w:t xml:space="preserve">Patrimonio gestionado (AUM)</w:t>
            </w:r>
          </w:p>
        </w:tc>
        <w:tc>
          <w:tcPr>
            <w:tcW w:type="dxa" w:w="3600"/>
            <w:tcMar>
              <w:top w:type="dxa" w:w="60"/>
              <w:left w:type="dxa" w:w="100"/>
              <w:bottom w:type="dxa" w:w="60"/>
              <w:right w:type="dxa" w:w="100"/>
            </w:tcMar>
          </w:tcPr>
          <w:p>
            <w:r>
              <w:rPr>
                <w:b w:val="false"/>
                <w:bCs w:val="false"/>
                <w:sz w:val="20"/>
                <w:szCs w:val="20"/>
              </w:rPr>
              <w:t xml:space="preserve">Dato no verificado con fuente de confianza en esta consulta (referencias de mercado: ~117.000-138.000 M EUR/USD, justETF/BlackRock)</w:t>
            </w:r>
          </w:p>
        </w:tc>
        <w:tc>
          <w:tcPr>
            <w:tcW w:type="dxa" w:w="2800"/>
            <w:tcMar>
              <w:top w:type="dxa" w:w="60"/>
              <w:left w:type="dxa" w:w="100"/>
              <w:bottom w:type="dxa" w:w="60"/>
              <w:right w:type="dxa" w:w="100"/>
            </w:tcMar>
          </w:tcPr>
          <w:p>
            <w:r>
              <w:rPr>
                <w:b w:val="false"/>
                <w:bCs w:val="false"/>
                <w:sz w:val="20"/>
                <w:szCs w:val="20"/>
              </w:rPr>
              <w:t xml:space="preserve">—</w:t>
            </w:r>
          </w:p>
        </w:tc>
      </w:tr>
    </w:tbl>
    <w:p>
      <w:pPr>
        <w:pStyle w:val="Heading2"/>
        <w:spacing w:after="120" w:before="260"/>
      </w:pPr>
      <w:r>
        <w:t xml:space="preserve">Lógica de inversión</w:t>
      </w:r>
    </w:p>
    <w:p>
      <w:pPr>
        <w:pStyle w:val="ListParagraph"/>
        <w:numPr>
          <w:ilvl w:val="0"/>
          <w:numId w:val="2"/>
        </w:numPr>
        <w:spacing w:after="80"/>
      </w:pPr>
      <w:r>
        <w:t xml:space="preserve">Exposición de bajo coste a la mayor economía bursátil del mundo: el S&amp;P 500 concentra las 500 mayores empresas de EE. UU. por capitalización; CSPX permite acceder a esa cesta con TER de solo 0.07%.</w:t>
      </w:r>
    </w:p>
    <w:p>
      <w:pPr>
        <w:pStyle w:val="ListParagraph"/>
        <w:numPr>
          <w:ilvl w:val="0"/>
          <w:numId w:val="2"/>
        </w:numPr>
        <w:spacing w:after="80"/>
      </w:pPr>
      <w:r>
        <w:t xml:space="preserve">Estructura fiscalmente eficiente para el inversor no estadounidense: al ser un fondo UCITS irlandés evita la retención en la fuente de un ETF listado en EE. UU. y el riesgo de impuesto de sucesión estadounidense para no residentes.</w:t>
      </w:r>
    </w:p>
    <w:p>
      <w:pPr>
        <w:pStyle w:val="ListParagraph"/>
        <w:numPr>
          <w:ilvl w:val="0"/>
          <w:numId w:val="2"/>
        </w:numPr>
        <w:spacing w:after="80"/>
      </w:pPr>
      <w:r>
        <w:t xml:space="preserve">Acumulación automática: no reparte dividendos, por lo que el interés compuesto se produce dentro del propio fondo, sin gestión manual de rentas.</w:t>
      </w:r>
    </w:p>
    <w:p>
      <w:pPr>
        <w:pStyle w:val="ListParagraph"/>
        <w:numPr>
          <w:ilvl w:val="0"/>
          <w:numId w:val="2"/>
        </w:numPr>
        <w:spacing w:after="80"/>
      </w:pPr>
      <w:r>
        <w:t xml:space="preserve">Utilidad como "core" de cartera: por tamaño, liquidez y bajo coste, es ampliamente usado como bloque principal de carteras de largo plazo.</w:t>
      </w:r>
    </w:p>
    <w:p>
      <w:pPr>
        <w:pStyle w:val="Heading2"/>
        <w:spacing w:after="120" w:before="260"/>
      </w:pPr>
      <w:r>
        <w:t xml:space="preserve">Vehículo: réplica física, acumulación y domicilio fiscal</w:t>
      </w:r>
    </w:p>
    <w:p>
      <w:pPr>
        <w:spacing w:after="140"/>
      </w:pPr>
      <w:r>
        <w:rPr>
          <w:b w:val="false"/>
          <w:bCs w:val="false"/>
          <w:i w:val="false"/>
          <w:iCs w:val="false"/>
        </w:rPr>
        <w:t xml:space="preserve">Réplica física vs. sintética: un ETF de réplica física compra directamente los activos del índice (aquí, las ~500 acciones del S&amp;P 500); uno sintético usa un swap con una contraparte, lo que añade riesgo de contraparte. CSPX usa réplica física completa (Fuente: Morningstar, 2026-07-29).</w:t>
      </w:r>
    </w:p>
    <w:p>
      <w:pPr>
        <w:spacing w:after="140"/>
      </w:pPr>
      <w:r>
        <w:rPr>
          <w:b w:val="false"/>
          <w:bCs w:val="false"/>
          <w:i w:val="false"/>
          <w:iCs w:val="false"/>
        </w:rPr>
        <w:t xml:space="preserve">Acumulación (Acc) vs. distribución (Dist): un ETF de acumulación reinvierte los dividendos en el propio fondo (sube el NAV, sin pago en efectivo); uno de distribución los reparte en efectivo. CSPX es de acumulación (Fuente: Morningstar, 2026-07-29).</w:t>
      </w:r>
    </w:p>
    <w:p>
      <w:pPr>
        <w:spacing w:after="140"/>
      </w:pPr>
      <w:r>
        <w:rPr>
          <w:b w:val="false"/>
          <w:bCs w:val="false"/>
          <w:i w:val="false"/>
          <w:iCs w:val="false"/>
        </w:rPr>
        <w:t xml:space="preserve">Domicilio fiscal irlandés: el tratado fiscal Irlanda-EE. UU. reduce la retención sobre dividendos estadounidenses al 15% (frente al 30% sin tratado), y evita para el inversor no residente el impuesto de sucesión estadounidense que sí aplicaría a un ETF domiciliado en EE. UU. Esta es información general de tratamiento fiscal transfronterizo, no asesoría fiscal; debe verificarse caso a caso.</w:t>
      </w:r>
    </w:p>
    <w:p>
      <w:pPr>
        <w:pStyle w:val="Heading2"/>
        <w:spacing w:after="120" w:before="260"/>
      </w:pPr>
      <w:r>
        <w:t xml:space="preserve">Tabla de tesis: argumentos a favor y en contra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DA100" w:val="clear"/>
            <w:tcMar>
              <w:top w:type="dxa" w:w="60"/>
              <w:left w:type="dxa" w:w="100"/>
              <w:bottom w:type="dxa" w:w="60"/>
              <w:right w:type="dxa" w:w="100"/>
            </w:tcMar>
          </w:tcPr>
          <w:p>
            <w:r>
              <w:rPr>
                <w:b/>
                <w:bCs/>
                <w:color w:val="FFFFFF"/>
                <w:sz w:val="20"/>
                <w:szCs w:val="20"/>
              </w:rPr>
              <w:t xml:space="preserve">A favor</w:t>
            </w:r>
          </w:p>
        </w:tc>
        <w:tc>
          <w:tcPr>
            <w:tcW w:type="dxa" w:w="4500"/>
            <w:shd w:fill="EDA100" w:val="clear"/>
            <w:tcMar>
              <w:top w:type="dxa" w:w="60"/>
              <w:left w:type="dxa" w:w="100"/>
              <w:bottom w:type="dxa" w:w="60"/>
              <w:right w:type="dxa" w:w="100"/>
            </w:tcMar>
          </w:tcPr>
          <w:p>
            <w:r>
              <w:rPr>
                <w:b/>
                <w:bCs/>
                <w:color w:val="FFFFFF"/>
                <w:sz w:val="20"/>
                <w:szCs w:val="20"/>
              </w:rPr>
              <w:t xml:space="preserve">En contra</w:t>
            </w:r>
          </w:p>
        </w:tc>
      </w:tr>
      <w:tr>
        <w:tc>
          <w:tcPr>
            <w:tcW w:type="dxa" w:w="4500"/>
            <w:tcMar>
              <w:top w:type="dxa" w:w="60"/>
              <w:left w:type="dxa" w:w="100"/>
              <w:bottom w:type="dxa" w:w="60"/>
              <w:right w:type="dxa" w:w="100"/>
            </w:tcMar>
          </w:tcPr>
          <w:p>
            <w:r>
              <w:rPr>
                <w:b w:val="false"/>
                <w:bCs w:val="false"/>
                <w:sz w:val="20"/>
                <w:szCs w:val="20"/>
              </w:rPr>
              <w:t xml:space="preserve">TER de solo 0.07%, de los más bajos de Europa para el S&amp;P 500</w:t>
            </w:r>
          </w:p>
        </w:tc>
        <w:tc>
          <w:tcPr>
            <w:tcW w:type="dxa" w:w="4500"/>
            <w:tcMar>
              <w:top w:type="dxa" w:w="60"/>
              <w:left w:type="dxa" w:w="100"/>
              <w:bottom w:type="dxa" w:w="60"/>
              <w:right w:type="dxa" w:w="100"/>
            </w:tcMar>
          </w:tcPr>
          <w:p>
            <w:r>
              <w:rPr>
                <w:b w:val="false"/>
                <w:bCs w:val="false"/>
                <w:sz w:val="20"/>
                <w:szCs w:val="20"/>
              </w:rPr>
              <w:t xml:space="preserve">Índice muy concentrado: "Magnificent Seven" ~31.5% (top 10 ~38%), el nivel más alto desde la era "Nifty Fifty"</w:t>
            </w:r>
          </w:p>
        </w:tc>
      </w:tr>
      <w:tr>
        <w:tc>
          <w:tcPr>
            <w:tcW w:type="dxa" w:w="4500"/>
            <w:tcMar>
              <w:top w:type="dxa" w:w="60"/>
              <w:left w:type="dxa" w:w="100"/>
              <w:bottom w:type="dxa" w:w="60"/>
              <w:right w:type="dxa" w:w="100"/>
            </w:tcMar>
          </w:tcPr>
          <w:p>
            <w:r>
              <w:rPr>
                <w:b w:val="false"/>
                <w:bCs w:val="false"/>
                <w:sz w:val="20"/>
                <w:szCs w:val="20"/>
              </w:rPr>
              <w:t xml:space="preserve">Réplica física completa: menor riesgo de contraparte</w:t>
            </w:r>
          </w:p>
        </w:tc>
        <w:tc>
          <w:tcPr>
            <w:tcW w:type="dxa" w:w="4500"/>
            <w:tcMar>
              <w:top w:type="dxa" w:w="60"/>
              <w:left w:type="dxa" w:w="100"/>
              <w:bottom w:type="dxa" w:w="60"/>
              <w:right w:type="dxa" w:w="100"/>
            </w:tcMar>
          </w:tcPr>
          <w:p>
            <w:r>
              <w:rPr>
                <w:b w:val="false"/>
                <w:bCs w:val="false"/>
                <w:sz w:val="20"/>
                <w:szCs w:val="20"/>
              </w:rPr>
              <w:t xml:space="preserve">Sin cobertura de divisa ("unhedged"): expuesto a EUR/GBP/CHF frente a USD</w:t>
            </w:r>
          </w:p>
        </w:tc>
      </w:tr>
      <w:tr>
        <w:tc>
          <w:tcPr>
            <w:tcW w:type="dxa" w:w="4500"/>
            <w:tcMar>
              <w:top w:type="dxa" w:w="60"/>
              <w:left w:type="dxa" w:w="100"/>
              <w:bottom w:type="dxa" w:w="60"/>
              <w:right w:type="dxa" w:w="100"/>
            </w:tcMar>
          </w:tcPr>
          <w:p>
            <w:r>
              <w:rPr>
                <w:b w:val="false"/>
                <w:bCs w:val="false"/>
                <w:sz w:val="20"/>
                <w:szCs w:val="20"/>
              </w:rPr>
              <w:t xml:space="preserve">Domicilio UCITS irlandés: eficiencia fiscal en dividendos y sin impuesto de sucesión de EE. UU.</w:t>
            </w:r>
          </w:p>
        </w:tc>
        <w:tc>
          <w:tcPr>
            <w:tcW w:type="dxa" w:w="4500"/>
            <w:tcMar>
              <w:top w:type="dxa" w:w="60"/>
              <w:left w:type="dxa" w:w="100"/>
              <w:bottom w:type="dxa" w:w="60"/>
              <w:right w:type="dxa" w:w="100"/>
            </w:tcMar>
          </w:tcPr>
          <w:p>
            <w:r>
              <w:rPr>
                <w:b w:val="false"/>
                <w:bCs w:val="false"/>
                <w:sz w:val="20"/>
                <w:szCs w:val="20"/>
              </w:rPr>
              <w:t xml:space="preserve">Rentabilidades pasadas muy elevadas (2019-2025, salvo 2022) no garantizan continuidad</w:t>
            </w:r>
          </w:p>
        </w:tc>
      </w:tr>
      <w:tr>
        <w:tc>
          <w:tcPr>
            <w:tcW w:type="dxa" w:w="4500"/>
            <w:tcMar>
              <w:top w:type="dxa" w:w="60"/>
              <w:left w:type="dxa" w:w="100"/>
              <w:bottom w:type="dxa" w:w="60"/>
              <w:right w:type="dxa" w:w="100"/>
            </w:tcMar>
          </w:tcPr>
          <w:p>
            <w:r>
              <w:rPr>
                <w:b w:val="false"/>
                <w:bCs w:val="false"/>
                <w:sz w:val="20"/>
                <w:szCs w:val="20"/>
              </w:rPr>
              <w:t xml:space="preserve">Enorme liquidez y tamaño del fondo</w:t>
            </w:r>
          </w:p>
        </w:tc>
        <w:tc>
          <w:tcPr>
            <w:tcW w:type="dxa" w:w="4500"/>
            <w:tcMar>
              <w:top w:type="dxa" w:w="60"/>
              <w:left w:type="dxa" w:w="100"/>
              <w:bottom w:type="dxa" w:w="60"/>
              <w:right w:type="dxa" w:w="100"/>
            </w:tcMar>
          </w:tcPr>
          <w:p>
            <w:r>
              <w:rPr>
                <w:b w:val="false"/>
                <w:bCs w:val="false"/>
                <w:sz w:val="20"/>
                <w:szCs w:val="20"/>
              </w:rPr>
              <w:t xml:space="preserve">Riesgo de "burbuja de IA": crecimiento de beneficios dependiente de un puñado de hyperscalers</w:t>
            </w:r>
          </w:p>
        </w:tc>
      </w:tr>
      <w:tr>
        <w:tc>
          <w:tcPr>
            <w:tcW w:type="dxa" w:w="4500"/>
            <w:tcMar>
              <w:top w:type="dxa" w:w="60"/>
              <w:left w:type="dxa" w:w="100"/>
              <w:bottom w:type="dxa" w:w="60"/>
              <w:right w:type="dxa" w:w="100"/>
            </w:tcMar>
          </w:tcPr>
          <w:p>
            <w:r>
              <w:rPr>
                <w:b w:val="false"/>
                <w:bCs w:val="false"/>
                <w:sz w:val="20"/>
                <w:szCs w:val="20"/>
              </w:rPr>
              <w:t xml:space="preserve">Acumulación automática: simplicidad fiscal y operativa</w:t>
            </w:r>
          </w:p>
        </w:tc>
        <w:tc>
          <w:tcPr>
            <w:tcW w:type="dxa" w:w="4500"/>
            <w:tcMar>
              <w:top w:type="dxa" w:w="60"/>
              <w:left w:type="dxa" w:w="100"/>
              <w:bottom w:type="dxa" w:w="60"/>
              <w:right w:type="dxa" w:w="100"/>
            </w:tcMar>
          </w:tcPr>
          <w:p>
            <w:r>
              <w:rPr>
                <w:b w:val="false"/>
                <w:bCs w:val="false"/>
                <w:sz w:val="20"/>
                <w:szCs w:val="20"/>
              </w:rPr>
              <w:t xml:space="preserve">Riesgo político-comercial: fricciones arancelarias recurrentes EE.UU.-UE (2025-2026)</w:t>
            </w:r>
          </w:p>
        </w:tc>
      </w:tr>
      <w:tr>
        <w:tc>
          <w:tcPr>
            <w:tcW w:type="dxa" w:w="4500"/>
            <w:tcMar>
              <w:top w:type="dxa" w:w="60"/>
              <w:left w:type="dxa" w:w="100"/>
              <w:bottom w:type="dxa" w:w="60"/>
              <w:right w:type="dxa" w:w="100"/>
            </w:tcMar>
          </w:tcPr>
          <w:p>
            <w:r>
              <w:rPr>
                <w:b w:val="false"/>
                <w:bCs w:val="false"/>
                <w:sz w:val="20"/>
                <w:szCs w:val="20"/>
              </w:rPr>
              <w:t xml:space="preserve">Múltiples líneas de cotización (LSE, Xetra, Ámsterdam, Milán, Zúrich)</w:t>
            </w:r>
          </w:p>
        </w:tc>
        <w:tc>
          <w:tcPr>
            <w:tcW w:type="dxa" w:w="4500"/>
            <w:tcMar>
              <w:top w:type="dxa" w:w="60"/>
              <w:left w:type="dxa" w:w="100"/>
              <w:bottom w:type="dxa" w:w="60"/>
              <w:right w:type="dxa" w:w="100"/>
            </w:tcMar>
          </w:tcPr>
          <w:p>
            <w:r>
              <w:rPr>
                <w:b w:val="false"/>
                <w:bCs w:val="false"/>
                <w:sz w:val="20"/>
                <w:szCs w:val="20"/>
              </w:rPr>
              <w:t xml:space="preserve">Riesgo de que la Fed empiece a subir tasas por inflación persistente (2026)</w:t>
            </w:r>
          </w:p>
        </w:tc>
      </w:tr>
    </w:tbl>
    <w:p>
      <w:r>
        <w:br w:type="page"/>
      </w:r>
    </w:p>
    <w:p>
      <w:pPr>
        <w:pStyle w:val="Heading1"/>
        <w:spacing w:after="150" w:before="300"/>
      </w:pPr>
      <w:r>
        <w:t xml:space="preserve">Comportamiento histórico</w:t>
      </w:r>
    </w:p>
    <w:p>
      <w:pPr>
        <w:pStyle w:val="Heading2"/>
        <w:spacing w:after="120" w:before="260"/>
      </w:pPr>
      <w:r>
        <w:t xml:space="preserve">Rentabilidad anual 2019-2026 (total return, USD, clase Acc)</w:t>
      </w:r>
    </w:p>
    <w:p>
      <w:pPr>
        <w:spacing w:after="60" w:before="1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color w:val="52514E"/>
          <w:sz w:val="18"/>
          <w:szCs w:val="18"/>
        </w:rPr>
        <w:t xml:space="preserve">Rentabilidad anual de CSPX. Fuente: Yahoo Finance / Morningstar (2019-2025); PortfoliosLab (2026 YTD, referencia fuera de la lista estricta de fuentes), consultado 2026-07-24/29.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985"/>
        <w:gridCol w:w="985"/>
        <w:gridCol w:w="985"/>
        <w:gridCol w:w="985"/>
        <w:gridCol w:w="985"/>
        <w:gridCol w:w="985"/>
        <w:gridCol w:w="985"/>
        <w:gridCol w:w="985"/>
      </w:tblGrid>
      <w:tr>
        <w:tc>
          <w:tcPr>
            <w:tcW w:type="dxa" w:w="1200"/>
            <w:shd w:fill="EDA100" w:val="clear"/>
            <w:tcMar>
              <w:top w:type="dxa" w:w="60"/>
              <w:left w:type="dxa" w:w="100"/>
              <w:bottom w:type="dxa" w:w="60"/>
              <w:right w:type="dxa" w:w="100"/>
            </w:tcMar>
          </w:tcPr>
          <w:p>
            <w:r>
              <w:rPr>
                <w:b/>
                <w:bCs/>
                <w:color w:val="FFFFFF"/>
                <w:sz w:val="20"/>
                <w:szCs w:val="20"/>
              </w:rPr>
              <w:t xml:space="preserve">Año</w:t>
            </w:r>
          </w:p>
        </w:tc>
        <w:tc>
          <w:tcPr>
            <w:tcW w:type="dxa" w:w="985"/>
            <w:shd w:fill="EDA100" w:val="clear"/>
            <w:tcMar>
              <w:top w:type="dxa" w:w="60"/>
              <w:left w:type="dxa" w:w="100"/>
              <w:bottom w:type="dxa" w:w="60"/>
              <w:right w:type="dxa" w:w="100"/>
            </w:tcMar>
          </w:tcPr>
          <w:p>
            <w:r>
              <w:rPr>
                <w:b/>
                <w:bCs/>
                <w:color w:val="FFFFFF"/>
                <w:sz w:val="20"/>
                <w:szCs w:val="20"/>
              </w:rPr>
              <w:t xml:space="preserve">2019</w:t>
            </w:r>
          </w:p>
        </w:tc>
        <w:tc>
          <w:tcPr>
            <w:tcW w:type="dxa" w:w="985"/>
            <w:shd w:fill="EDA100" w:val="clear"/>
            <w:tcMar>
              <w:top w:type="dxa" w:w="60"/>
              <w:left w:type="dxa" w:w="100"/>
              <w:bottom w:type="dxa" w:w="60"/>
              <w:right w:type="dxa" w:w="100"/>
            </w:tcMar>
          </w:tcPr>
          <w:p>
            <w:r>
              <w:rPr>
                <w:b/>
                <w:bCs/>
                <w:color w:val="FFFFFF"/>
                <w:sz w:val="20"/>
                <w:szCs w:val="20"/>
              </w:rPr>
              <w:t xml:space="preserve">2020</w:t>
            </w:r>
          </w:p>
        </w:tc>
        <w:tc>
          <w:tcPr>
            <w:tcW w:type="dxa" w:w="985"/>
            <w:shd w:fill="EDA100" w:val="clear"/>
            <w:tcMar>
              <w:top w:type="dxa" w:w="60"/>
              <w:left w:type="dxa" w:w="100"/>
              <w:bottom w:type="dxa" w:w="60"/>
              <w:right w:type="dxa" w:w="100"/>
            </w:tcMar>
          </w:tcPr>
          <w:p>
            <w:r>
              <w:rPr>
                <w:b/>
                <w:bCs/>
                <w:color w:val="FFFFFF"/>
                <w:sz w:val="20"/>
                <w:szCs w:val="20"/>
              </w:rPr>
              <w:t xml:space="preserve">2021</w:t>
            </w:r>
          </w:p>
        </w:tc>
        <w:tc>
          <w:tcPr>
            <w:tcW w:type="dxa" w:w="985"/>
            <w:shd w:fill="EDA100" w:val="clear"/>
            <w:tcMar>
              <w:top w:type="dxa" w:w="60"/>
              <w:left w:type="dxa" w:w="100"/>
              <w:bottom w:type="dxa" w:w="60"/>
              <w:right w:type="dxa" w:w="100"/>
            </w:tcMar>
          </w:tcPr>
          <w:p>
            <w:r>
              <w:rPr>
                <w:b/>
                <w:bCs/>
                <w:color w:val="FFFFFF"/>
                <w:sz w:val="20"/>
                <w:szCs w:val="20"/>
              </w:rPr>
              <w:t xml:space="preserve">2022</w:t>
            </w:r>
          </w:p>
        </w:tc>
        <w:tc>
          <w:tcPr>
            <w:tcW w:type="dxa" w:w="985"/>
            <w:shd w:fill="EDA100" w:val="clear"/>
            <w:tcMar>
              <w:top w:type="dxa" w:w="60"/>
              <w:left w:type="dxa" w:w="100"/>
              <w:bottom w:type="dxa" w:w="60"/>
              <w:right w:type="dxa" w:w="100"/>
            </w:tcMar>
          </w:tcPr>
          <w:p>
            <w:r>
              <w:rPr>
                <w:b/>
                <w:bCs/>
                <w:color w:val="FFFFFF"/>
                <w:sz w:val="20"/>
                <w:szCs w:val="20"/>
              </w:rPr>
              <w:t xml:space="preserve">2023</w:t>
            </w:r>
          </w:p>
        </w:tc>
        <w:tc>
          <w:tcPr>
            <w:tcW w:type="dxa" w:w="985"/>
            <w:shd w:fill="EDA100" w:val="clear"/>
            <w:tcMar>
              <w:top w:type="dxa" w:w="60"/>
              <w:left w:type="dxa" w:w="100"/>
              <w:bottom w:type="dxa" w:w="60"/>
              <w:right w:type="dxa" w:w="100"/>
            </w:tcMar>
          </w:tcPr>
          <w:p>
            <w:r>
              <w:rPr>
                <w:b/>
                <w:bCs/>
                <w:color w:val="FFFFFF"/>
                <w:sz w:val="20"/>
                <w:szCs w:val="20"/>
              </w:rPr>
              <w:t xml:space="preserve">2024</w:t>
            </w:r>
          </w:p>
        </w:tc>
        <w:tc>
          <w:tcPr>
            <w:tcW w:type="dxa" w:w="985"/>
            <w:shd w:fill="EDA100" w:val="clear"/>
            <w:tcMar>
              <w:top w:type="dxa" w:w="60"/>
              <w:left w:type="dxa" w:w="100"/>
              <w:bottom w:type="dxa" w:w="60"/>
              <w:right w:type="dxa" w:w="100"/>
            </w:tcMar>
          </w:tcPr>
          <w:p>
            <w:r>
              <w:rPr>
                <w:b/>
                <w:bCs/>
                <w:color w:val="FFFFFF"/>
                <w:sz w:val="20"/>
                <w:szCs w:val="20"/>
              </w:rPr>
              <w:t xml:space="preserve">2025</w:t>
            </w:r>
          </w:p>
        </w:tc>
        <w:tc>
          <w:tcPr>
            <w:tcW w:type="dxa" w:w="985"/>
            <w:shd w:fill="EDA100" w:val="clear"/>
            <w:tcMar>
              <w:top w:type="dxa" w:w="60"/>
              <w:left w:type="dxa" w:w="100"/>
              <w:bottom w:type="dxa" w:w="60"/>
              <w:right w:type="dxa" w:w="100"/>
            </w:tcMar>
          </w:tcPr>
          <w:p>
            <w:r>
              <w:rPr>
                <w:b/>
                <w:bCs/>
                <w:color w:val="FFFFFF"/>
                <w:sz w:val="20"/>
                <w:szCs w:val="20"/>
              </w:rPr>
              <w:t xml:space="preserve">2026 YTD</w:t>
            </w:r>
          </w:p>
        </w:tc>
      </w:tr>
      <w:tr>
        <w:tc>
          <w:tcPr>
            <w:tcW w:type="dxa" w:w="1200"/>
            <w:tcMar>
              <w:top w:type="dxa" w:w="60"/>
              <w:left w:type="dxa" w:w="100"/>
              <w:bottom w:type="dxa" w:w="60"/>
              <w:right w:type="dxa" w:w="100"/>
            </w:tcMar>
          </w:tcPr>
          <w:p>
            <w:r>
              <w:rPr>
                <w:b w:val="false"/>
                <w:bCs w:val="false"/>
                <w:sz w:val="20"/>
                <w:szCs w:val="20"/>
              </w:rPr>
              <w:t xml:space="preserve">Rentabilidad</w:t>
            </w:r>
          </w:p>
        </w:tc>
        <w:tc>
          <w:tcPr>
            <w:tcW w:type="dxa" w:w="985"/>
            <w:tcMar>
              <w:top w:type="dxa" w:w="60"/>
              <w:left w:type="dxa" w:w="100"/>
              <w:bottom w:type="dxa" w:w="60"/>
              <w:right w:type="dxa" w:w="100"/>
            </w:tcMar>
          </w:tcPr>
          <w:p>
            <w:r>
              <w:rPr>
                <w:b w:val="false"/>
                <w:bCs w:val="false"/>
                <w:sz w:val="20"/>
                <w:szCs w:val="20"/>
              </w:rPr>
              <w:t xml:space="preserve">+31.81%</w:t>
            </w:r>
          </w:p>
        </w:tc>
        <w:tc>
          <w:tcPr>
            <w:tcW w:type="dxa" w:w="985"/>
            <w:tcMar>
              <w:top w:type="dxa" w:w="60"/>
              <w:left w:type="dxa" w:w="100"/>
              <w:bottom w:type="dxa" w:w="60"/>
              <w:right w:type="dxa" w:w="100"/>
            </w:tcMar>
          </w:tcPr>
          <w:p>
            <w:r>
              <w:rPr>
                <w:b w:val="false"/>
                <w:bCs w:val="false"/>
                <w:sz w:val="20"/>
                <w:szCs w:val="20"/>
              </w:rPr>
              <w:t xml:space="preserve">+17.86%</w:t>
            </w:r>
          </w:p>
        </w:tc>
        <w:tc>
          <w:tcPr>
            <w:tcW w:type="dxa" w:w="985"/>
            <w:tcMar>
              <w:top w:type="dxa" w:w="60"/>
              <w:left w:type="dxa" w:w="100"/>
              <w:bottom w:type="dxa" w:w="60"/>
              <w:right w:type="dxa" w:w="100"/>
            </w:tcMar>
          </w:tcPr>
          <w:p>
            <w:r>
              <w:rPr>
                <w:b w:val="false"/>
                <w:bCs w:val="false"/>
                <w:sz w:val="20"/>
                <w:szCs w:val="20"/>
              </w:rPr>
              <w:t xml:space="preserve">+29.84%</w:t>
            </w:r>
          </w:p>
        </w:tc>
        <w:tc>
          <w:tcPr>
            <w:tcW w:type="dxa" w:w="985"/>
            <w:tcMar>
              <w:top w:type="dxa" w:w="60"/>
              <w:left w:type="dxa" w:w="100"/>
              <w:bottom w:type="dxa" w:w="60"/>
              <w:right w:type="dxa" w:w="100"/>
            </w:tcMar>
          </w:tcPr>
          <w:p>
            <w:r>
              <w:rPr>
                <w:b w:val="false"/>
                <w:bCs w:val="false"/>
                <w:sz w:val="20"/>
                <w:szCs w:val="20"/>
              </w:rPr>
              <w:t xml:space="preserve">−19.32%</w:t>
            </w:r>
          </w:p>
        </w:tc>
        <w:tc>
          <w:tcPr>
            <w:tcW w:type="dxa" w:w="985"/>
            <w:tcMar>
              <w:top w:type="dxa" w:w="60"/>
              <w:left w:type="dxa" w:w="100"/>
              <w:bottom w:type="dxa" w:w="60"/>
              <w:right w:type="dxa" w:w="100"/>
            </w:tcMar>
          </w:tcPr>
          <w:p>
            <w:r>
              <w:rPr>
                <w:b w:val="false"/>
                <w:bCs w:val="false"/>
                <w:sz w:val="20"/>
                <w:szCs w:val="20"/>
              </w:rPr>
              <w:t xml:space="preserve">+26.12%</w:t>
            </w:r>
          </w:p>
        </w:tc>
        <w:tc>
          <w:tcPr>
            <w:tcW w:type="dxa" w:w="985"/>
            <w:tcMar>
              <w:top w:type="dxa" w:w="60"/>
              <w:left w:type="dxa" w:w="100"/>
              <w:bottom w:type="dxa" w:w="60"/>
              <w:right w:type="dxa" w:w="100"/>
            </w:tcMar>
          </w:tcPr>
          <w:p>
            <w:r>
              <w:rPr>
                <w:b w:val="false"/>
                <w:bCs w:val="false"/>
                <w:sz w:val="20"/>
                <w:szCs w:val="20"/>
              </w:rPr>
              <w:t xml:space="preserve">+25.73%</w:t>
            </w:r>
          </w:p>
        </w:tc>
        <w:tc>
          <w:tcPr>
            <w:tcW w:type="dxa" w:w="985"/>
            <w:tcMar>
              <w:top w:type="dxa" w:w="60"/>
              <w:left w:type="dxa" w:w="100"/>
              <w:bottom w:type="dxa" w:w="60"/>
              <w:right w:type="dxa" w:w="100"/>
            </w:tcMar>
          </w:tcPr>
          <w:p>
            <w:r>
              <w:rPr>
                <w:b w:val="false"/>
                <w:bCs w:val="false"/>
                <w:sz w:val="20"/>
                <w:szCs w:val="20"/>
              </w:rPr>
              <w:t xml:space="preserve">+18.05%</w:t>
            </w:r>
          </w:p>
        </w:tc>
        <w:tc>
          <w:tcPr>
            <w:tcW w:type="dxa" w:w="985"/>
            <w:tcMar>
              <w:top w:type="dxa" w:w="60"/>
              <w:left w:type="dxa" w:w="100"/>
              <w:bottom w:type="dxa" w:w="60"/>
              <w:right w:type="dxa" w:w="100"/>
            </w:tcMar>
          </w:tcPr>
          <w:p>
            <w:r>
              <w:rPr>
                <w:b w:val="false"/>
                <w:bCs w:val="false"/>
                <w:sz w:val="20"/>
                <w:szCs w:val="20"/>
              </w:rPr>
              <w:t xml:space="preserve">~+12.83%</w:t>
            </w:r>
          </w:p>
        </w:tc>
      </w:tr>
    </w:tbl>
    <w:p>
      <w:pPr>
        <w:pStyle w:val="Heading2"/>
        <w:spacing w:after="120" w:before="260"/>
      </w:pPr>
      <w:r>
        <w:t xml:space="preserve">Máximos y mínimos relevantes del índice subyacente (S&amp;P 500)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900"/>
        <w:gridCol w:w="1500"/>
      </w:tblGrid>
      <w:tr>
        <w:tc>
          <w:tcPr>
            <w:tcW w:type="dxa" w:w="1600"/>
            <w:shd w:fill="EDA100" w:val="clear"/>
            <w:tcMar>
              <w:top w:type="dxa" w:w="60"/>
              <w:left w:type="dxa" w:w="100"/>
              <w:bottom w:type="dxa" w:w="60"/>
              <w:right w:type="dxa" w:w="100"/>
            </w:tcMar>
          </w:tcPr>
          <w:p>
            <w:r>
              <w:rPr>
                <w:b/>
                <w:bCs/>
                <w:color w:val="FFFFFF"/>
                <w:sz w:val="20"/>
                <w:szCs w:val="20"/>
              </w:rPr>
              <w:t xml:space="preserve">Periodo</w:t>
            </w:r>
          </w:p>
        </w:tc>
        <w:tc>
          <w:tcPr>
            <w:tcW w:type="dxa" w:w="5900"/>
            <w:shd w:fill="EDA100" w:val="clear"/>
            <w:tcMar>
              <w:top w:type="dxa" w:w="60"/>
              <w:left w:type="dxa" w:w="100"/>
              <w:bottom w:type="dxa" w:w="60"/>
              <w:right w:type="dxa" w:w="100"/>
            </w:tcMar>
          </w:tcPr>
          <w:p>
            <w:r>
              <w:rPr>
                <w:b/>
                <w:bCs/>
                <w:color w:val="FFFFFF"/>
                <w:sz w:val="20"/>
                <w:szCs w:val="20"/>
              </w:rPr>
              <w:t xml:space="preserve">Evento</w:t>
            </w:r>
          </w:p>
        </w:tc>
        <w:tc>
          <w:tcPr>
            <w:tcW w:type="dxa" w:w="1500"/>
            <w:shd w:fill="EDA100" w:val="clear"/>
            <w:tcMar>
              <w:top w:type="dxa" w:w="60"/>
              <w:left w:type="dxa" w:w="100"/>
              <w:bottom w:type="dxa" w:w="60"/>
              <w:right w:type="dxa" w:w="100"/>
            </w:tcMar>
          </w:tcPr>
          <w:p>
            <w:r>
              <w:rPr>
                <w:b/>
                <w:bCs/>
                <w:color w:val="FFFFFF"/>
                <w:sz w:val="20"/>
                <w:szCs w:val="20"/>
              </w:rPr>
              <w:t xml:space="preserve">Fuente</w:t>
            </w:r>
          </w:p>
        </w:tc>
      </w:tr>
      <w:tr>
        <w:tc>
          <w:tcPr>
            <w:tcW w:type="dxa" w:w="1600"/>
            <w:tcMar>
              <w:top w:type="dxa" w:w="60"/>
              <w:left w:type="dxa" w:w="100"/>
              <w:bottom w:type="dxa" w:w="60"/>
              <w:right w:type="dxa" w:w="100"/>
            </w:tcMar>
          </w:tcPr>
          <w:p>
            <w:r>
              <w:rPr>
                <w:b w:val="false"/>
                <w:bCs w:val="false"/>
                <w:sz w:val="20"/>
                <w:szCs w:val="20"/>
              </w:rPr>
              <w:t xml:space="preserve">Marzo 2020</w:t>
            </w:r>
          </w:p>
        </w:tc>
        <w:tc>
          <w:tcPr>
            <w:tcW w:type="dxa" w:w="5900"/>
            <w:tcMar>
              <w:top w:type="dxa" w:w="60"/>
              <w:left w:type="dxa" w:w="100"/>
              <w:bottom w:type="dxa" w:w="60"/>
              <w:right w:type="dxa" w:w="100"/>
            </w:tcMar>
          </w:tcPr>
          <w:p>
            <w:r>
              <w:rPr>
                <w:b w:val="false"/>
                <w:bCs w:val="false"/>
                <w:sz w:val="20"/>
                <w:szCs w:val="20"/>
              </w:rPr>
              <w:t xml:space="preserve">Caída de ~34% desde máximo de febrero hasta el mínimo del 23-mar-2020 (2,237.40 pts) por el shock del COVID-19</w:t>
            </w:r>
          </w:p>
        </w:tc>
        <w:tc>
          <w:tcPr>
            <w:tcW w:type="dxa" w:w="1500"/>
            <w:tcMar>
              <w:top w:type="dxa" w:w="60"/>
              <w:left w:type="dxa" w:w="100"/>
              <w:bottom w:type="dxa" w:w="60"/>
              <w:right w:type="dxa" w:w="100"/>
            </w:tcMar>
          </w:tcPr>
          <w:p>
            <w:r>
              <w:rPr>
                <w:b w:val="false"/>
                <w:bCs w:val="false"/>
                <w:sz w:val="20"/>
                <w:szCs w:val="20"/>
              </w:rPr>
              <w:t xml:space="preserve">Ficha previa del repositorio, 2026-07-24</w:t>
            </w:r>
          </w:p>
        </w:tc>
      </w:tr>
      <w:tr>
        <w:tc>
          <w:tcPr>
            <w:tcW w:type="dxa" w:w="1600"/>
            <w:tcMar>
              <w:top w:type="dxa" w:w="60"/>
              <w:left w:type="dxa" w:w="100"/>
              <w:bottom w:type="dxa" w:w="60"/>
              <w:right w:type="dxa" w:w="100"/>
            </w:tcMar>
          </w:tcPr>
          <w:p>
            <w:r>
              <w:rPr>
                <w:b w:val="false"/>
                <w:bCs w:val="false"/>
                <w:sz w:val="20"/>
                <w:szCs w:val="20"/>
              </w:rPr>
              <w:t xml:space="preserve">2022</w:t>
            </w:r>
          </w:p>
        </w:tc>
        <w:tc>
          <w:tcPr>
            <w:tcW w:type="dxa" w:w="5900"/>
            <w:tcMar>
              <w:top w:type="dxa" w:w="60"/>
              <w:left w:type="dxa" w:w="100"/>
              <w:bottom w:type="dxa" w:w="60"/>
              <w:right w:type="dxa" w:w="100"/>
            </w:tcMar>
          </w:tcPr>
          <w:p>
            <w:r>
              <w:rPr>
                <w:b w:val="false"/>
                <w:bCs w:val="false"/>
                <w:sz w:val="20"/>
                <w:szCs w:val="20"/>
              </w:rPr>
              <w:t xml:space="preserve">Caída desde ~4,796.56 (enero) hasta ~3,577.03 (octubre) por el ciclo de subidas de tasas de la Fed</w:t>
            </w:r>
          </w:p>
        </w:tc>
        <w:tc>
          <w:tcPr>
            <w:tcW w:type="dxa" w:w="1500"/>
            <w:tcMar>
              <w:top w:type="dxa" w:w="60"/>
              <w:left w:type="dxa" w:w="100"/>
              <w:bottom w:type="dxa" w:w="60"/>
              <w:right w:type="dxa" w:w="100"/>
            </w:tcMar>
          </w:tcPr>
          <w:p>
            <w:r>
              <w:rPr>
                <w:b w:val="false"/>
                <w:bCs w:val="false"/>
                <w:sz w:val="20"/>
                <w:szCs w:val="20"/>
              </w:rPr>
              <w:t xml:space="preserve">ídem</w:t>
            </w:r>
          </w:p>
        </w:tc>
      </w:tr>
      <w:tr>
        <w:tc>
          <w:tcPr>
            <w:tcW w:type="dxa" w:w="1600"/>
            <w:tcMar>
              <w:top w:type="dxa" w:w="60"/>
              <w:left w:type="dxa" w:w="100"/>
              <w:bottom w:type="dxa" w:w="60"/>
              <w:right w:type="dxa" w:w="100"/>
            </w:tcMar>
          </w:tcPr>
          <w:p>
            <w:r>
              <w:rPr>
                <w:b w:val="false"/>
                <w:bCs w:val="false"/>
                <w:sz w:val="20"/>
                <w:szCs w:val="20"/>
              </w:rPr>
              <w:t xml:space="preserve">Abril 2025</w:t>
            </w:r>
          </w:p>
        </w:tc>
        <w:tc>
          <w:tcPr>
            <w:tcW w:type="dxa" w:w="5900"/>
            <w:tcMar>
              <w:top w:type="dxa" w:w="60"/>
              <w:left w:type="dxa" w:w="100"/>
              <w:bottom w:type="dxa" w:w="60"/>
              <w:right w:type="dxa" w:w="100"/>
            </w:tcMar>
          </w:tcPr>
          <w:p>
            <w:r>
              <w:rPr>
                <w:b w:val="false"/>
                <w:bCs w:val="false"/>
                <w:sz w:val="20"/>
                <w:szCs w:val="20"/>
              </w:rPr>
              <w:t xml:space="preserve">Shock arancelario "Liberation Day" (2-abr-2025): caída de -10% a -19% según ventana, +6.6 billones USD de capitalización perdidos en dos días</w:t>
            </w:r>
          </w:p>
        </w:tc>
        <w:tc>
          <w:tcPr>
            <w:tcW w:type="dxa" w:w="1500"/>
            <w:tcMar>
              <w:top w:type="dxa" w:w="60"/>
              <w:left w:type="dxa" w:w="100"/>
              <w:bottom w:type="dxa" w:w="60"/>
              <w:right w:type="dxa" w:w="100"/>
            </w:tcMar>
          </w:tcPr>
          <w:p>
            <w:r>
              <w:rPr>
                <w:b w:val="false"/>
                <w:bCs w:val="false"/>
                <w:sz w:val="20"/>
                <w:szCs w:val="20"/>
              </w:rPr>
              <w:t xml:space="preserve">Bloomberg / NPR / The Motley Fool</w:t>
            </w:r>
          </w:p>
        </w:tc>
      </w:tr>
      <w:tr>
        <w:tc>
          <w:tcPr>
            <w:tcW w:type="dxa" w:w="1600"/>
            <w:tcMar>
              <w:top w:type="dxa" w:w="60"/>
              <w:left w:type="dxa" w:w="100"/>
              <w:bottom w:type="dxa" w:w="60"/>
              <w:right w:type="dxa" w:w="100"/>
            </w:tcMar>
          </w:tcPr>
          <w:p>
            <w:r>
              <w:rPr>
                <w:b w:val="false"/>
                <w:bCs w:val="false"/>
                <w:sz w:val="20"/>
                <w:szCs w:val="20"/>
              </w:rPr>
              <w:t xml:space="preserve">Diciembre 2025</w:t>
            </w:r>
          </w:p>
        </w:tc>
        <w:tc>
          <w:tcPr>
            <w:tcW w:type="dxa" w:w="5900"/>
            <w:tcMar>
              <w:top w:type="dxa" w:w="60"/>
              <w:left w:type="dxa" w:w="100"/>
              <w:bottom w:type="dxa" w:w="60"/>
              <w:right w:type="dxa" w:w="100"/>
            </w:tcMar>
          </w:tcPr>
          <w:p>
            <w:r>
              <w:rPr>
                <w:b w:val="false"/>
                <w:bCs w:val="false"/>
                <w:sz w:val="20"/>
                <w:szCs w:val="20"/>
              </w:rPr>
              <w:t xml:space="preserve">Cierre de año en máximos históricos (cierre 6,845.50, +16.4% en el año)</w:t>
            </w:r>
          </w:p>
        </w:tc>
        <w:tc>
          <w:tcPr>
            <w:tcW w:type="dxa" w:w="1500"/>
            <w:tcMar>
              <w:top w:type="dxa" w:w="60"/>
              <w:left w:type="dxa" w:w="100"/>
              <w:bottom w:type="dxa" w:w="60"/>
              <w:right w:type="dxa" w:w="100"/>
            </w:tcMar>
          </w:tcPr>
          <w:p>
            <w:r>
              <w:rPr>
                <w:b w:val="false"/>
                <w:bCs w:val="false"/>
                <w:sz w:val="20"/>
                <w:szCs w:val="20"/>
              </w:rPr>
              <w:t xml:space="preserve">CNBC / Advisor Perspectives</w:t>
            </w:r>
          </w:p>
        </w:tc>
      </w:tr>
      <w:tr>
        <w:tc>
          <w:tcPr>
            <w:tcW w:type="dxa" w:w="1600"/>
            <w:tcMar>
              <w:top w:type="dxa" w:w="60"/>
              <w:left w:type="dxa" w:w="100"/>
              <w:bottom w:type="dxa" w:w="60"/>
              <w:right w:type="dxa" w:w="100"/>
            </w:tcMar>
          </w:tcPr>
          <w:p>
            <w:r>
              <w:rPr>
                <w:b w:val="false"/>
                <w:bCs w:val="false"/>
                <w:sz w:val="20"/>
                <w:szCs w:val="20"/>
              </w:rPr>
              <w:t xml:space="preserve">Junio 2026</w:t>
            </w:r>
          </w:p>
        </w:tc>
        <w:tc>
          <w:tcPr>
            <w:tcW w:type="dxa" w:w="5900"/>
            <w:tcMar>
              <w:top w:type="dxa" w:w="60"/>
              <w:left w:type="dxa" w:w="100"/>
              <w:bottom w:type="dxa" w:w="60"/>
              <w:right w:type="dxa" w:w="100"/>
            </w:tcMar>
          </w:tcPr>
          <w:p>
            <w:r>
              <w:rPr>
                <w:b w:val="false"/>
                <w:bCs w:val="false"/>
                <w:sz w:val="20"/>
                <w:szCs w:val="20"/>
              </w:rPr>
              <w:t xml:space="preserve">Máximo histórico a inicios de junio; retroceso posterior de más de 2%</w:t>
            </w:r>
          </w:p>
        </w:tc>
        <w:tc>
          <w:tcPr>
            <w:tcW w:type="dxa" w:w="1500"/>
            <w:tcMar>
              <w:top w:type="dxa" w:w="60"/>
              <w:left w:type="dxa" w:w="100"/>
              <w:bottom w:type="dxa" w:w="60"/>
              <w:right w:type="dxa" w:w="100"/>
            </w:tcMar>
          </w:tcPr>
          <w:p>
            <w:r>
              <w:rPr>
                <w:b w:val="false"/>
                <w:bCs w:val="false"/>
                <w:sz w:val="20"/>
                <w:szCs w:val="20"/>
              </w:rPr>
              <w:t xml:space="preserve">State Street Global Advisors, 2026-07-20</w:t>
            </w:r>
          </w:p>
        </w:tc>
      </w:tr>
      <w:tr>
        <w:tc>
          <w:tcPr>
            <w:tcW w:type="dxa" w:w="1600"/>
            <w:tcMar>
              <w:top w:type="dxa" w:w="60"/>
              <w:left w:type="dxa" w:w="100"/>
              <w:bottom w:type="dxa" w:w="60"/>
              <w:right w:type="dxa" w:w="100"/>
            </w:tcMar>
          </w:tcPr>
          <w:p>
            <w:r>
              <w:rPr>
                <w:b w:val="false"/>
                <w:bCs w:val="false"/>
                <w:sz w:val="20"/>
                <w:szCs w:val="20"/>
              </w:rPr>
              <w:t xml:space="preserve">28-jul-2026</w:t>
            </w:r>
          </w:p>
        </w:tc>
        <w:tc>
          <w:tcPr>
            <w:tcW w:type="dxa" w:w="5900"/>
            <w:tcMar>
              <w:top w:type="dxa" w:w="60"/>
              <w:left w:type="dxa" w:w="100"/>
              <w:bottom w:type="dxa" w:w="60"/>
              <w:right w:type="dxa" w:w="100"/>
            </w:tcMar>
          </w:tcPr>
          <w:p>
            <w:r>
              <w:rPr>
                <w:b w:val="false"/>
                <w:bCs w:val="false"/>
                <w:sz w:val="20"/>
                <w:szCs w:val="20"/>
              </w:rPr>
              <w:t xml:space="preserve">Cierre en torno a 7,413-7,428 puntos (ligera discrepancia entre proveedores)</w:t>
            </w:r>
          </w:p>
        </w:tc>
        <w:tc>
          <w:tcPr>
            <w:tcW w:type="dxa" w:w="1500"/>
            <w:tcMar>
              <w:top w:type="dxa" w:w="60"/>
              <w:left w:type="dxa" w:w="100"/>
              <w:bottom w:type="dxa" w:w="60"/>
              <w:right w:type="dxa" w:w="100"/>
            </w:tcMar>
          </w:tcPr>
          <w:p>
            <w:r>
              <w:rPr>
                <w:b w:val="false"/>
                <w:bCs w:val="false"/>
                <w:sz w:val="20"/>
                <w:szCs w:val="20"/>
              </w:rPr>
              <w:t xml:space="preserve">FRED, 2026-07-28</w:t>
            </w:r>
          </w:p>
        </w:tc>
      </w:tr>
    </w:tbl>
    <w:p>
      <w:pPr>
        <w:pStyle w:val="Heading2"/>
        <w:spacing w:after="120" w:before="260"/>
      </w:pPr>
      <w:r>
        <w:t xml:space="preserve">Eventos relevantes 2019-2026 (resumen)</w:t>
      </w:r>
    </w:p>
    <w:p>
      <w:pPr>
        <w:pStyle w:val="ListParagraph"/>
        <w:numPr>
          <w:ilvl w:val="0"/>
          <w:numId w:val="1"/>
        </w:numPr>
        <w:spacing w:after="80"/>
      </w:pPr>
      <w:r>
        <w:t xml:space="preserve">2019: recuperación tras la corrección de 2018; recortes preventivos de la Fed.</w:t>
      </w:r>
    </w:p>
    <w:p>
      <w:pPr>
        <w:pStyle w:val="ListParagraph"/>
        <w:numPr>
          <w:ilvl w:val="0"/>
          <w:numId w:val="1"/>
        </w:numPr>
        <w:spacing w:after="80"/>
      </w:pPr>
      <w:r>
        <w:t xml:space="preserve">2020: crash del COVID-19 (marzo), recuperación en V con tasas de la Fed en 0%-0.25%.</w:t>
      </w:r>
    </w:p>
    <w:p>
      <w:pPr>
        <w:pStyle w:val="ListParagraph"/>
        <w:numPr>
          <w:ilvl w:val="0"/>
          <w:numId w:val="1"/>
        </w:numPr>
        <w:spacing w:after="80"/>
      </w:pPr>
      <w:r>
        <w:t xml:space="preserve">2021: rally por reapertura económica; la inflación empieza a acelerarse a fin de año.</w:t>
      </w:r>
    </w:p>
    <w:p>
      <w:pPr>
        <w:pStyle w:val="ListParagraph"/>
        <w:numPr>
          <w:ilvl w:val="0"/>
          <w:numId w:val="1"/>
        </w:numPr>
        <w:spacing w:after="80"/>
      </w:pPr>
      <w:r>
        <w:t xml:space="preserve">2022: la Fed sube tasas 7 veces (0%-0.25% a 4.25%-4.5%); inflación de 9.1% interanual en junio; único año negativo de CSPX (-19.32%).</w:t>
      </w:r>
    </w:p>
    <w:p>
      <w:pPr>
        <w:pStyle w:val="ListParagraph"/>
        <w:numPr>
          <w:ilvl w:val="0"/>
          <w:numId w:val="1"/>
        </w:numPr>
        <w:spacing w:after="80"/>
      </w:pPr>
      <w:r>
        <w:t xml:space="preserve">2023: pausa del ciclo de subidas (hasta 5.25%-5.5%); arranca el rally de IA generativa liderado por Nvidia y las "Siete Magníficas".</w:t>
      </w:r>
    </w:p>
    <w:p>
      <w:pPr>
        <w:pStyle w:val="ListParagraph"/>
        <w:numPr>
          <w:ilvl w:val="0"/>
          <w:numId w:val="1"/>
        </w:numPr>
        <w:spacing w:after="80"/>
      </w:pPr>
      <w:r>
        <w:t xml:space="preserve">2024: continúa el rally de IA; elecciones en EE. UU. (retorno de Trump); la Fed gira hacia recortes (hasta 4.25%-4.5%).</w:t>
      </w:r>
    </w:p>
    <w:p>
      <w:pPr>
        <w:pStyle w:val="ListParagraph"/>
        <w:numPr>
          <w:ilvl w:val="0"/>
          <w:numId w:val="1"/>
        </w:numPr>
        <w:spacing w:after="80"/>
      </w:pPr>
      <w:r>
        <w:t xml:space="preserve">Abril 2025: shock arancelario "Liberation Day" (aranceles recíprocos generalizados).</w:t>
      </w:r>
    </w:p>
    <w:p>
      <w:pPr>
        <w:pStyle w:val="ListParagraph"/>
        <w:numPr>
          <w:ilvl w:val="0"/>
          <w:numId w:val="1"/>
        </w:numPr>
        <w:spacing w:after="80"/>
      </w:pPr>
      <w:r>
        <w:t xml:space="preserve">2.ª mitad 2025: la Fed retoma recortes hasta 3.50%-3.75%; cierre de año en máximos históricos.</w:t>
      </w:r>
    </w:p>
    <w:p>
      <w:pPr>
        <w:pStyle w:val="ListParagraph"/>
        <w:numPr>
          <w:ilvl w:val="0"/>
          <w:numId w:val="1"/>
        </w:numPr>
        <w:spacing w:after="80"/>
      </w:pPr>
      <w:r>
        <w:t xml:space="preserve">2026 (a la fecha de corte): repunte de inflación en EE. UU. (IPC ~4%+) ligado a aranceles y energía; nueva tensión comercial UE-EE.UU. por Groenlandia; la Fed mantiene tasas el 29-jul-2026 con voto dividido 9-3.</w:t>
      </w:r>
    </w:p>
    <w:p>
      <w:pPr>
        <w:pStyle w:val="Heading2"/>
        <w:spacing w:after="120" w:before="260"/>
      </w:pPr>
      <w:r>
        <w:t xml:space="preserve">Rentabilidad y tracking difference/error</w:t>
      </w:r>
    </w:p>
    <w:p>
      <w:pPr>
        <w:spacing w:after="140"/>
      </w:pPr>
      <w:r>
        <w:rPr>
          <w:b w:val="false"/>
          <w:bCs w:val="false"/>
          <w:i w:val="false"/>
          <w:iCs w:val="false"/>
        </w:rPr>
        <w:t xml:space="preserve">Tracking difference: diferencia entre la rentabilidad del propio fondo y la del índice replicado. Tracking error: volatilidad de esa diferencia en el tiempo. No fue posible obtener una cifra concreta y verificable de tracking difference/error de CSPX con las fuentes permitidas (Morningstar, Yahoo Finance, Investing.com); se declara explícitamente como dato no verificado. Un TER de 0.07% sugiere una tracking difference estructural reducida, pero es una inferencia razonada, no una cifra medida.</w:t>
      </w:r>
    </w:p>
    <w:p>
      <w:pPr>
        <w:pStyle w:val="Heading2"/>
        <w:spacing w:after="120" w:before="260"/>
      </w:pPr>
      <w:r>
        <w:t xml:space="preserve">Comparación con ETFs competidores equivalentes</w:t>
      </w:r>
    </w:p>
    <w:p>
      <w:pPr>
        <w:spacing w:after="140"/>
      </w:pPr>
      <w:r>
        <w:rPr>
          <w:b w:val="false"/>
          <w:bCs w:val="false"/>
          <w:i w:val="false"/>
          <w:iCs w:val="false"/>
        </w:rPr>
        <w:t xml:space="preserve">SXR8 (Xetra) y CSP1 (LSE) no son competidores: son otras líneas de cotización del mismo fondo CSPX. El universo real de competidores son otros fondos UCITS que también replican el S&amp;P 500: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1200"/>
        <w:gridCol w:w="1600"/>
        <w:gridCol w:w="1400"/>
      </w:tblGrid>
      <w:tr>
        <w:tc>
          <w:tcPr>
            <w:tcW w:type="dxa" w:w="2600"/>
            <w:shd w:fill="EDA100" w:val="clear"/>
            <w:tcMar>
              <w:top w:type="dxa" w:w="60"/>
              <w:left w:type="dxa" w:w="100"/>
              <w:bottom w:type="dxa" w:w="60"/>
              <w:right w:type="dxa" w:w="100"/>
            </w:tcMar>
          </w:tcPr>
          <w:p>
            <w:r>
              <w:rPr>
                <w:b/>
                <w:bCs/>
                <w:color w:val="FFFFFF"/>
                <w:sz w:val="20"/>
                <w:szCs w:val="20"/>
              </w:rPr>
              <w:t xml:space="preserve">ETF</w:t>
            </w:r>
          </w:p>
        </w:tc>
        <w:tc>
          <w:tcPr>
            <w:tcW w:type="dxa" w:w="1600"/>
            <w:shd w:fill="EDA100" w:val="clear"/>
            <w:tcMar>
              <w:top w:type="dxa" w:w="60"/>
              <w:left w:type="dxa" w:w="100"/>
              <w:bottom w:type="dxa" w:w="60"/>
              <w:right w:type="dxa" w:w="100"/>
            </w:tcMar>
          </w:tcPr>
          <w:p>
            <w:r>
              <w:rPr>
                <w:b/>
                <w:bCs/>
                <w:color w:val="FFFFFF"/>
                <w:sz w:val="20"/>
                <w:szCs w:val="20"/>
              </w:rPr>
              <w:t xml:space="preserve">Gestora</w:t>
            </w:r>
          </w:p>
        </w:tc>
        <w:tc>
          <w:tcPr>
            <w:tcW w:type="dxa" w:w="1200"/>
            <w:shd w:fill="EDA100" w:val="clear"/>
            <w:tcMar>
              <w:top w:type="dxa" w:w="60"/>
              <w:left w:type="dxa" w:w="100"/>
              <w:bottom w:type="dxa" w:w="60"/>
              <w:right w:type="dxa" w:w="100"/>
            </w:tcMar>
          </w:tcPr>
          <w:p>
            <w:r>
              <w:rPr>
                <w:b/>
                <w:bCs/>
                <w:color w:val="FFFFFF"/>
                <w:sz w:val="20"/>
                <w:szCs w:val="20"/>
              </w:rPr>
              <w:t xml:space="preserve">TER</w:t>
            </w:r>
          </w:p>
        </w:tc>
        <w:tc>
          <w:tcPr>
            <w:tcW w:type="dxa" w:w="1200"/>
            <w:shd w:fill="EDA100" w:val="clear"/>
            <w:tcMar>
              <w:top w:type="dxa" w:w="60"/>
              <w:left w:type="dxa" w:w="100"/>
              <w:bottom w:type="dxa" w:w="60"/>
              <w:right w:type="dxa" w:w="100"/>
            </w:tcMar>
          </w:tcPr>
          <w:p>
            <w:r>
              <w:rPr>
                <w:b/>
                <w:bCs/>
                <w:color w:val="FFFFFF"/>
                <w:sz w:val="20"/>
                <w:szCs w:val="20"/>
              </w:rPr>
              <w:t xml:space="preserve">Réplica</w:t>
            </w:r>
          </w:p>
        </w:tc>
        <w:tc>
          <w:tcPr>
            <w:tcW w:type="dxa" w:w="1600"/>
            <w:shd w:fill="EDA100" w:val="clear"/>
            <w:tcMar>
              <w:top w:type="dxa" w:w="60"/>
              <w:left w:type="dxa" w:w="100"/>
              <w:bottom w:type="dxa" w:w="60"/>
              <w:right w:type="dxa" w:w="100"/>
            </w:tcMar>
          </w:tcPr>
          <w:p>
            <w:r>
              <w:rPr>
                <w:b/>
                <w:bCs/>
                <w:color w:val="FFFFFF"/>
                <w:sz w:val="20"/>
                <w:szCs w:val="20"/>
              </w:rPr>
              <w:t xml:space="preserve">Reparto</w:t>
            </w:r>
          </w:p>
        </w:tc>
        <w:tc>
          <w:tcPr>
            <w:tcW w:type="dxa" w:w="1400"/>
            <w:shd w:fill="EDA100" w:val="clear"/>
            <w:tcMar>
              <w:top w:type="dxa" w:w="60"/>
              <w:left w:type="dxa" w:w="100"/>
              <w:bottom w:type="dxa" w:w="60"/>
              <w:right w:type="dxa" w:w="100"/>
            </w:tcMar>
          </w:tcPr>
          <w:p>
            <w:r>
              <w:rPr>
                <w:b/>
                <w:bCs/>
                <w:color w:val="FFFFFF"/>
                <w:sz w:val="20"/>
                <w:szCs w:val="20"/>
              </w:rPr>
              <w:t xml:space="preserve">Domicilio</w:t>
            </w:r>
          </w:p>
        </w:tc>
      </w:tr>
      <w:tr>
        <w:tc>
          <w:tcPr>
            <w:tcW w:type="dxa" w:w="2600"/>
            <w:tcMar>
              <w:top w:type="dxa" w:w="60"/>
              <w:left w:type="dxa" w:w="100"/>
              <w:bottom w:type="dxa" w:w="60"/>
              <w:right w:type="dxa" w:w="100"/>
            </w:tcMar>
          </w:tcPr>
          <w:p>
            <w:r>
              <w:rPr>
                <w:b w:val="false"/>
                <w:bCs w:val="false"/>
                <w:sz w:val="20"/>
                <w:szCs w:val="20"/>
              </w:rPr>
              <w:t xml:space="preserve">CSPX (iShares)</w:t>
            </w:r>
          </w:p>
        </w:tc>
        <w:tc>
          <w:tcPr>
            <w:tcW w:type="dxa" w:w="1600"/>
            <w:tcMar>
              <w:top w:type="dxa" w:w="60"/>
              <w:left w:type="dxa" w:w="100"/>
              <w:bottom w:type="dxa" w:w="60"/>
              <w:right w:type="dxa" w:w="100"/>
            </w:tcMar>
          </w:tcPr>
          <w:p>
            <w:r>
              <w:rPr>
                <w:b w:val="false"/>
                <w:bCs w:val="false"/>
                <w:sz w:val="20"/>
                <w:szCs w:val="20"/>
              </w:rPr>
              <w:t xml:space="preserve">BlackRock</w:t>
            </w:r>
          </w:p>
        </w:tc>
        <w:tc>
          <w:tcPr>
            <w:tcW w:type="dxa" w:w="1200"/>
            <w:tcMar>
              <w:top w:type="dxa" w:w="60"/>
              <w:left w:type="dxa" w:w="100"/>
              <w:bottom w:type="dxa" w:w="60"/>
              <w:right w:type="dxa" w:w="100"/>
            </w:tcMar>
          </w:tcPr>
          <w:p>
            <w:r>
              <w:rPr>
                <w:b w:val="false"/>
                <w:bCs w:val="false"/>
                <w:sz w:val="20"/>
                <w:szCs w:val="20"/>
              </w:rPr>
              <w:t xml:space="preserve">0.07%</w:t>
            </w:r>
          </w:p>
        </w:tc>
        <w:tc>
          <w:tcPr>
            <w:tcW w:type="dxa" w:w="1200"/>
            <w:tcMar>
              <w:top w:type="dxa" w:w="60"/>
              <w:left w:type="dxa" w:w="100"/>
              <w:bottom w:type="dxa" w:w="60"/>
              <w:right w:type="dxa" w:w="100"/>
            </w:tcMar>
          </w:tcPr>
          <w:p>
            <w:r>
              <w:rPr>
                <w:b w:val="false"/>
                <w:bCs w:val="false"/>
                <w:sz w:val="20"/>
                <w:szCs w:val="20"/>
              </w:rPr>
              <w:t xml:space="preserve">Física</w:t>
            </w:r>
          </w:p>
        </w:tc>
        <w:tc>
          <w:tcPr>
            <w:tcW w:type="dxa" w:w="1600"/>
            <w:tcMar>
              <w:top w:type="dxa" w:w="60"/>
              <w:left w:type="dxa" w:w="100"/>
              <w:bottom w:type="dxa" w:w="60"/>
              <w:right w:type="dxa" w:w="100"/>
            </w:tcMar>
          </w:tcPr>
          <w:p>
            <w:r>
              <w:rPr>
                <w:b w:val="false"/>
                <w:bCs w:val="false"/>
                <w:sz w:val="20"/>
                <w:szCs w:val="20"/>
              </w:rPr>
              <w:t xml:space="preserve">Acumulación</w:t>
            </w:r>
          </w:p>
        </w:tc>
        <w:tc>
          <w:tcPr>
            <w:tcW w:type="dxa" w:w="1400"/>
            <w:tcMar>
              <w:top w:type="dxa" w:w="60"/>
              <w:left w:type="dxa" w:w="100"/>
              <w:bottom w:type="dxa" w:w="60"/>
              <w:right w:type="dxa" w:w="100"/>
            </w:tcMar>
          </w:tcPr>
          <w:p>
            <w:r>
              <w:rPr>
                <w:b w:val="false"/>
                <w:bCs w:val="false"/>
                <w:sz w:val="20"/>
                <w:szCs w:val="20"/>
              </w:rPr>
              <w:t xml:space="preserve">Irlanda</w:t>
            </w:r>
          </w:p>
        </w:tc>
      </w:tr>
      <w:tr>
        <w:tc>
          <w:tcPr>
            <w:tcW w:type="dxa" w:w="2600"/>
            <w:tcMar>
              <w:top w:type="dxa" w:w="60"/>
              <w:left w:type="dxa" w:w="100"/>
              <w:bottom w:type="dxa" w:w="60"/>
              <w:right w:type="dxa" w:w="100"/>
            </w:tcMar>
          </w:tcPr>
          <w:p>
            <w:r>
              <w:rPr>
                <w:b w:val="false"/>
                <w:bCs w:val="false"/>
                <w:sz w:val="20"/>
                <w:szCs w:val="20"/>
              </w:rPr>
              <w:t xml:space="preserve">VUAA (Vanguard)</w:t>
            </w:r>
          </w:p>
        </w:tc>
        <w:tc>
          <w:tcPr>
            <w:tcW w:type="dxa" w:w="1600"/>
            <w:tcMar>
              <w:top w:type="dxa" w:w="60"/>
              <w:left w:type="dxa" w:w="100"/>
              <w:bottom w:type="dxa" w:w="60"/>
              <w:right w:type="dxa" w:w="100"/>
            </w:tcMar>
          </w:tcPr>
          <w:p>
            <w:r>
              <w:rPr>
                <w:b w:val="false"/>
                <w:bCs w:val="false"/>
                <w:sz w:val="20"/>
                <w:szCs w:val="20"/>
              </w:rPr>
              <w:t xml:space="preserve">Vanguard</w:t>
            </w:r>
          </w:p>
        </w:tc>
        <w:tc>
          <w:tcPr>
            <w:tcW w:type="dxa" w:w="1200"/>
            <w:tcMar>
              <w:top w:type="dxa" w:w="60"/>
              <w:left w:type="dxa" w:w="100"/>
              <w:bottom w:type="dxa" w:w="60"/>
              <w:right w:type="dxa" w:w="100"/>
            </w:tcMar>
          </w:tcPr>
          <w:p>
            <w:r>
              <w:rPr>
                <w:b w:val="false"/>
                <w:bCs w:val="false"/>
                <w:sz w:val="20"/>
                <w:szCs w:val="20"/>
              </w:rPr>
              <w:t xml:space="preserve">0.07%</w:t>
            </w:r>
          </w:p>
        </w:tc>
        <w:tc>
          <w:tcPr>
            <w:tcW w:type="dxa" w:w="1200"/>
            <w:tcMar>
              <w:top w:type="dxa" w:w="60"/>
              <w:left w:type="dxa" w:w="100"/>
              <w:bottom w:type="dxa" w:w="60"/>
              <w:right w:type="dxa" w:w="100"/>
            </w:tcMar>
          </w:tcPr>
          <w:p>
            <w:r>
              <w:rPr>
                <w:b w:val="false"/>
                <w:bCs w:val="false"/>
                <w:sz w:val="20"/>
                <w:szCs w:val="20"/>
              </w:rPr>
              <w:t xml:space="preserve">Física</w:t>
            </w:r>
          </w:p>
        </w:tc>
        <w:tc>
          <w:tcPr>
            <w:tcW w:type="dxa" w:w="1600"/>
            <w:tcMar>
              <w:top w:type="dxa" w:w="60"/>
              <w:left w:type="dxa" w:w="100"/>
              <w:bottom w:type="dxa" w:w="60"/>
              <w:right w:type="dxa" w:w="100"/>
            </w:tcMar>
          </w:tcPr>
          <w:p>
            <w:r>
              <w:rPr>
                <w:b w:val="false"/>
                <w:bCs w:val="false"/>
                <w:sz w:val="20"/>
                <w:szCs w:val="20"/>
              </w:rPr>
              <w:t xml:space="preserve">Acumulación</w:t>
            </w:r>
          </w:p>
        </w:tc>
        <w:tc>
          <w:tcPr>
            <w:tcW w:type="dxa" w:w="1400"/>
            <w:tcMar>
              <w:top w:type="dxa" w:w="60"/>
              <w:left w:type="dxa" w:w="100"/>
              <w:bottom w:type="dxa" w:w="60"/>
              <w:right w:type="dxa" w:w="100"/>
            </w:tcMar>
          </w:tcPr>
          <w:p>
            <w:r>
              <w:rPr>
                <w:b w:val="false"/>
                <w:bCs w:val="false"/>
                <w:sz w:val="20"/>
                <w:szCs w:val="20"/>
              </w:rPr>
              <w:t xml:space="preserve">Irlanda (2019)</w:t>
            </w:r>
          </w:p>
        </w:tc>
      </w:tr>
      <w:tr>
        <w:tc>
          <w:tcPr>
            <w:tcW w:type="dxa" w:w="2600"/>
            <w:tcMar>
              <w:top w:type="dxa" w:w="60"/>
              <w:left w:type="dxa" w:w="100"/>
              <w:bottom w:type="dxa" w:w="60"/>
              <w:right w:type="dxa" w:w="100"/>
            </w:tcMar>
          </w:tcPr>
          <w:p>
            <w:r>
              <w:rPr>
                <w:b w:val="false"/>
                <w:bCs w:val="false"/>
                <w:sz w:val="20"/>
                <w:szCs w:val="20"/>
              </w:rPr>
              <w:t xml:space="preserve">VUSA (Vanguard, dato de referencia sin verificar)</w:t>
            </w:r>
          </w:p>
        </w:tc>
        <w:tc>
          <w:tcPr>
            <w:tcW w:type="dxa" w:w="1600"/>
            <w:tcMar>
              <w:top w:type="dxa" w:w="60"/>
              <w:left w:type="dxa" w:w="100"/>
              <w:bottom w:type="dxa" w:w="60"/>
              <w:right w:type="dxa" w:w="100"/>
            </w:tcMar>
          </w:tcPr>
          <w:p>
            <w:r>
              <w:rPr>
                <w:b w:val="false"/>
                <w:bCs w:val="false"/>
                <w:sz w:val="20"/>
                <w:szCs w:val="20"/>
              </w:rPr>
              <w:t xml:space="preserve">Vanguard</w:t>
            </w:r>
          </w:p>
        </w:tc>
        <w:tc>
          <w:tcPr>
            <w:tcW w:type="dxa" w:w="1200"/>
            <w:tcMar>
              <w:top w:type="dxa" w:w="60"/>
              <w:left w:type="dxa" w:w="100"/>
              <w:bottom w:type="dxa" w:w="60"/>
              <w:right w:type="dxa" w:w="100"/>
            </w:tcMar>
          </w:tcPr>
          <w:p>
            <w:r>
              <w:rPr>
                <w:b w:val="false"/>
                <w:bCs w:val="false"/>
                <w:sz w:val="20"/>
                <w:szCs w:val="20"/>
              </w:rPr>
              <w:t xml:space="preserve">~0.07% (ref.)</w:t>
            </w:r>
          </w:p>
        </w:tc>
        <w:tc>
          <w:tcPr>
            <w:tcW w:type="dxa" w:w="1200"/>
            <w:tcMar>
              <w:top w:type="dxa" w:w="60"/>
              <w:left w:type="dxa" w:w="100"/>
              <w:bottom w:type="dxa" w:w="60"/>
              <w:right w:type="dxa" w:w="100"/>
            </w:tcMar>
          </w:tcPr>
          <w:p>
            <w:r>
              <w:rPr>
                <w:b w:val="false"/>
                <w:bCs w:val="false"/>
                <w:sz w:val="20"/>
                <w:szCs w:val="20"/>
              </w:rPr>
              <w:t xml:space="preserve">Física</w:t>
            </w:r>
          </w:p>
        </w:tc>
        <w:tc>
          <w:tcPr>
            <w:tcW w:type="dxa" w:w="1600"/>
            <w:tcMar>
              <w:top w:type="dxa" w:w="60"/>
              <w:left w:type="dxa" w:w="100"/>
              <w:bottom w:type="dxa" w:w="60"/>
              <w:right w:type="dxa" w:w="100"/>
            </w:tcMar>
          </w:tcPr>
          <w:p>
            <w:r>
              <w:rPr>
                <w:b w:val="false"/>
                <w:bCs w:val="false"/>
                <w:sz w:val="20"/>
                <w:szCs w:val="20"/>
              </w:rPr>
              <w:t xml:space="preserve">Distribución</w:t>
            </w:r>
          </w:p>
        </w:tc>
        <w:tc>
          <w:tcPr>
            <w:tcW w:type="dxa" w:w="1400"/>
            <w:tcMar>
              <w:top w:type="dxa" w:w="60"/>
              <w:left w:type="dxa" w:w="100"/>
              <w:bottom w:type="dxa" w:w="60"/>
              <w:right w:type="dxa" w:w="100"/>
            </w:tcMar>
          </w:tcPr>
          <w:p>
            <w:r>
              <w:rPr>
                <w:b w:val="false"/>
                <w:bCs w:val="false"/>
                <w:sz w:val="20"/>
                <w:szCs w:val="20"/>
              </w:rPr>
              <w:t xml:space="preserve">Irlanda</w:t>
            </w:r>
          </w:p>
        </w:tc>
      </w:tr>
    </w:tbl>
    <w:p>
      <w:pPr>
        <w:spacing w:after="140"/>
      </w:pPr>
      <w:r>
        <w:rPr>
          <w:b w:val="false"/>
          <w:bCs w:val="false"/>
          <w:i w:val="false"/>
          <w:iCs w:val="false"/>
        </w:rPr>
        <w:t xml:space="preserve">La elección entre CSPX y VUAA (mismo TER, réplica y domicilio) suele depender del bróker, el spread y el tamaño del fondo en cada bolsa, más que de una diferencia de fondo (Fuente: Yahoo Finance, 2026-07-29).</w:t>
      </w:r>
    </w:p>
    <w:p>
      <w:r>
        <w:br w:type="page"/>
      </w:r>
    </w:p>
    <w:p>
      <w:pPr>
        <w:pStyle w:val="Heading1"/>
        <w:spacing w:after="150" w:before="300"/>
      </w:pPr>
      <w:r>
        <w:t xml:space="preserve">Contexto geopolítico y macroeconómico</w:t>
      </w:r>
    </w:p>
    <w:p>
      <w:pPr>
        <w:pStyle w:val="Heading3"/>
        <w:spacing w:after="100" w:before="200"/>
      </w:pPr>
      <w:r>
        <w:t xml:space="preserve">Política de la Reserva Federal</w:t>
      </w:r>
    </w:p>
    <w:p>
      <w:pPr>
        <w:spacing w:after="140"/>
      </w:pPr>
      <w:r>
        <w:rPr>
          <w:b w:val="false"/>
          <w:bCs w:val="false"/>
          <w:i w:val="false"/>
          <w:iCs w:val="false"/>
        </w:rPr>
        <w:t xml:space="preserve">La Fed llevó su tasa de 0%-0.25% (2020-2021) a un máximo de 5.25%-5.5% (2023), inició recortes en 2024-2025 hasta 3.50%-3.75% (vigente desde dic-2025), y el 29-jul-2026 mantuvo el rango sin cambios por votación dividida 9-3 (tres presidentes regionales a favor de subir), ante inflación persistente por encima del objetivo del 2% y presiones de aranceles y energía (Fuente: CNBC / Reserva Federal, 2026-07-29). El comité contempló en junio de 2026 una subida de 25 p.b. antes de fin de año.</w:t>
      </w:r>
    </w:p>
    <w:p>
      <w:pPr>
        <w:pStyle w:val="Heading3"/>
        <w:spacing w:after="100" w:before="200"/>
      </w:pPr>
      <w:r>
        <w:t xml:space="preserve">Aranceles y política comercial</w:t>
      </w:r>
    </w:p>
    <w:p>
      <w:pPr>
        <w:spacing w:after="140"/>
      </w:pPr>
      <w:r>
        <w:rPr>
          <w:b w:val="false"/>
          <w:bCs w:val="false"/>
          <w:i w:val="false"/>
          <w:iCs w:val="false"/>
        </w:rPr>
        <w:t xml:space="preserve">En 2025 y 2026 se han producido episodios de tensión arancelaria EE.UU.-UE (arancel base del 10%, amenazas adicionales en 2026 ligadas a una disputa por Groenlandia), con amenazas de represalia europea (Fuente: Bloomberg / CNBC, 2026-07-24). Afecta tanto a beneficios de multinacionales del índice como al tipo de cambio EUR/USD.</w:t>
      </w:r>
    </w:p>
    <w:p>
      <w:pPr>
        <w:pStyle w:val="Heading3"/>
        <w:spacing w:after="100" w:before="200"/>
      </w:pPr>
      <w:r>
        <w:t xml:space="preserve">Concentración tecnológica y ciclo de IA</w:t>
      </w:r>
    </w:p>
    <w:p>
      <w:pPr>
        <w:spacing w:after="140"/>
      </w:pPr>
      <w:r>
        <w:rPr>
          <w:b w:val="false"/>
          <w:bCs w:val="false"/>
          <w:i w:val="false"/>
          <w:iCs w:val="false"/>
        </w:rPr>
        <w:t xml:space="preserve">Las "Magnificent Seven" concentran ~31.5% del S&amp;P 500 (top 10 ~38%), el nivel más alto desde la era "Nifty Fifty" (Fuente: State Street / Forbes, 2026-07-24). La dispersión de resultados dentro del grupo ha aumentado (p. ej. Alphabet y Apple con ganancias en el año, Microsoft y Tesla con caídas en el mismo periodo).</w:t>
      </w:r>
    </w:p>
    <w:p>
      <w:pPr>
        <w:pStyle w:val="Heading3"/>
        <w:spacing w:after="100" w:before="200"/>
      </w:pPr>
      <w:r>
        <w:t xml:space="preserve">Riesgo de divisa para el inversor europeo</w:t>
      </w:r>
    </w:p>
    <w:p>
      <w:pPr>
        <w:spacing w:after="140"/>
      </w:pPr>
      <w:r>
        <w:rPr>
          <w:b w:val="false"/>
          <w:bCs w:val="false"/>
          <w:i w:val="false"/>
          <w:iCs w:val="false"/>
        </w:rPr>
        <w:t xml:space="preserve">CSPX no cubre riesgo de divisa. El euro cotizaba en torno a 1.1424-1.1430 USD el 10-13 de julio de 2026 (Fuente: BCE, eurofxref, 2026-07-13). Una apreciación del euro, la libra o el franco suizo reduce la rentabilidad en moneda local de CSPX aunque el S&amp;P 500 suba en dólares.</w:t>
      </w:r>
    </w:p>
    <w:p>
      <w:pPr>
        <w:pStyle w:val="Heading3"/>
        <w:spacing w:after="100" w:before="200"/>
      </w:pPr>
      <w:r>
        <w:t xml:space="preserve">Política del BCE y seguridad energética</w:t>
      </w:r>
    </w:p>
    <w:p>
      <w:pPr>
        <w:spacing w:after="140"/>
      </w:pPr>
      <w:r>
        <w:rPr>
          <w:b w:val="false"/>
          <w:bCs w:val="false"/>
          <w:i w:val="false"/>
          <w:iCs w:val="false"/>
        </w:rPr>
        <w:t xml:space="preserve">El BCE mantuvo tipos sin cambios el 23-jul-2026 (depósito 2.25%, unánime), tras moderación de la inflación de la eurozona en junio (2.8%); Lagarde advirtió sobre incertidumbre por la guerra y el shock energético (Fuente: BCE, 2026-07-23). El mercado descontaba posibles subidas desde septiembre de 2026.</w:t>
      </w:r>
    </w:p>
    <w:p>
      <w:pPr>
        <w:pStyle w:val="Heading3"/>
        <w:spacing w:after="100" w:before="200"/>
      </w:pPr>
      <w:r>
        <w:t xml:space="preserve">Banco de Inglaterra</w:t>
      </w:r>
    </w:p>
    <w:p>
      <w:pPr>
        <w:spacing w:after="140"/>
      </w:pPr>
      <w:r>
        <w:rPr>
          <w:b w:val="false"/>
          <w:bCs w:val="false"/>
          <w:i w:val="false"/>
          <w:iCs w:val="false"/>
        </w:rPr>
        <w:t xml:space="preserve">Mantuvo su tipo en 3.75% en junio de 2026; para la reunión del 30-jul-2026 el consenso apuntaba a un nuevo mantenimiento con sesgo al endurecimiento (Fuente: Euronews, 2026-06-18). Afecta sobre todo a la línea en libras (CSP1) vía GBP/USD.</w:t>
      </w:r>
    </w:p>
    <w:p>
      <w:pPr>
        <w:pStyle w:val="Heading3"/>
        <w:spacing w:after="100" w:before="200"/>
      </w:pPr>
      <w:r>
        <w:t xml:space="preserve">Guerra en Ucrania y sanciones</w:t>
      </w:r>
    </w:p>
    <w:p>
      <w:pPr>
        <w:spacing w:after="140"/>
      </w:pPr>
      <w:r>
        <w:rPr>
          <w:b w:val="false"/>
          <w:bCs w:val="false"/>
          <w:i w:val="false"/>
          <w:iCs w:val="false"/>
        </w:rPr>
        <w:t xml:space="preserve">El conflicto ruso-ucraniano continúa sin acuerdo de alto el fuego, con más de 300.000 millones USD de reservas rusas congeladas por sanciones. Junto al conflicto en Oriente Medio, sigue siendo un factor transversal de riesgo geopolítico para el apetito global por activos de riesgo.</w:t>
      </w:r>
    </w:p>
    <w:p>
      <w:pPr>
        <w:pStyle w:val="Heading3"/>
        <w:spacing w:after="100" w:before="200"/>
      </w:pPr>
      <w:r>
        <w:t xml:space="preserve">Impacto sobre América Latina y Colombia</w:t>
      </w:r>
    </w:p>
    <w:p>
      <w:pPr>
        <w:spacing w:after="140"/>
      </w:pPr>
      <w:r>
        <w:rPr>
          <w:b w:val="false"/>
          <w:bCs w:val="false"/>
          <w:i w:val="false"/>
          <w:iCs w:val="false"/>
        </w:rPr>
        <w:t xml:space="preserve">Episodios de corrección brusca (como abril de 2025) suelen coincidir con salidas de capital de mercados emergentes, incluida Colombia, y presión sobre el peso. Si la Fed termina subiendo tasas en 2026, es previsible un fortalecimiento del dólar frente al peso colombiano, complicando el margen de maniobra del Banco de la República. Para un inversor colombiano que compre CSPX en una bolsa europea existe una doble exposición cambiaria: USD/COP y, según la plaza, EUR/USD o GBP/USD.</w:t>
      </w:r>
    </w:p>
    <w:p>
      <w:pPr>
        <w:pStyle w:val="Heading2"/>
        <w:spacing w:after="120" w:before="260"/>
      </w:pPr>
      <w:r>
        <w:t xml:space="preserve">Catalizadores próximos (a la fecha de corte)</w:t>
      </w:r>
    </w:p>
    <w:p>
      <w:pPr>
        <w:pStyle w:val="ListParagraph"/>
        <w:numPr>
          <w:ilvl w:val="0"/>
          <w:numId w:val="1"/>
        </w:numPr>
        <w:spacing w:after="80"/>
      </w:pPr>
      <w:r>
        <w:t xml:space="preserve">30-jul-2026: decisión de tipos del Banco de Inglaterra (impacta la línea en libras, CSP1).</w:t>
      </w:r>
    </w:p>
    <w:p>
      <w:pPr>
        <w:pStyle w:val="ListParagraph"/>
        <w:numPr>
          <w:ilvl w:val="0"/>
          <w:numId w:val="1"/>
        </w:numPr>
        <w:spacing w:after="80"/>
      </w:pPr>
      <w:r>
        <w:t xml:space="preserve">Resto de 2026: si se materializa la subida de 25 p.b. que la Fed contempló en junio de 2026, dado el voto dividido de julio.</w:t>
      </w:r>
    </w:p>
    <w:p>
      <w:pPr>
        <w:pStyle w:val="ListParagraph"/>
        <w:numPr>
          <w:ilvl w:val="0"/>
          <w:numId w:val="1"/>
        </w:numPr>
        <w:spacing w:after="80"/>
      </w:pPr>
      <w:r>
        <w:t xml:space="preserve">10-sep-2026: próxima reunión del BCE, con posible primera subida del ciclo de endurecimiento.</w:t>
      </w:r>
    </w:p>
    <w:p>
      <w:pPr>
        <w:pStyle w:val="ListParagraph"/>
        <w:numPr>
          <w:ilvl w:val="0"/>
          <w:numId w:val="1"/>
        </w:numPr>
        <w:spacing w:after="80"/>
      </w:pPr>
      <w:r>
        <w:t xml:space="preserve">Resultados corporativos del 3.er trimestre de 2026 de las "Magnificent Seven" (~31.5% del índice).</w:t>
      </w:r>
    </w:p>
    <w:p>
      <w:pPr>
        <w:pStyle w:val="ListParagraph"/>
        <w:numPr>
          <w:ilvl w:val="0"/>
          <w:numId w:val="1"/>
        </w:numPr>
        <w:spacing w:after="80"/>
      </w:pPr>
      <w:r>
        <w:t xml:space="preserve">Evolución de la disputa comercial UE-EE.UU. por Groenlandia y los aranceles recíprocos desde abril de 2025.</w:t>
      </w:r>
    </w:p>
    <w:p>
      <w:r>
        <w:br w:type="page"/>
      </w:r>
    </w:p>
    <w:p>
      <w:pPr>
        <w:pStyle w:val="Heading1"/>
        <w:spacing w:after="150" w:before="300"/>
      </w:pPr>
      <w:r>
        <w:t xml:space="preserve">Escenarios y riesgos</w:t>
      </w:r>
    </w:p>
    <w:p>
      <w:pPr>
        <w:spacing w:after="140"/>
      </w:pPr>
      <w:r>
        <w:rPr>
          <w:b/>
          <w:bCs/>
          <w:i/>
          <w:iCs/>
        </w:rPr>
        <w:t xml:space="preserve">Importante: lo siguiente es una OPINIÓN / PROYECCIÓN EDUCATIVA del analista, no un hecho verificado ni una recomendación de inversión.</w:t>
      </w:r>
    </w:p>
    <w:p>
      <w:pPr>
        <w:pStyle w:val="Heading2"/>
        <w:spacing w:after="120" w:before="260"/>
      </w:pPr>
      <w:r>
        <w:t xml:space="preserve">Escenarios a 6 meses (29-jul-2026 → ~29-ene-2027)</w:t>
      </w:r>
    </w:p>
    <w:p>
      <w:pPr>
        <w:spacing w:after="60" w:before="100"/>
        <w:jc w:val="center"/>
      </w:pPr>
      <w:r>
        <w:drawing>
          <wp:inline distT="0" distB="0" distL="0" distR="0">
            <wp:extent cx="5334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52514E"/>
          <w:sz w:val="18"/>
          <w:szCs w:val="18"/>
        </w:rPr>
        <w:t xml:space="preserve">Rango estimado de rentabilidad a 6 meses por escenario, en USD, sin efecto de divisa.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DA100" w:val="clear"/>
            <w:tcMar>
              <w:top w:type="dxa" w:w="60"/>
              <w:left w:type="dxa" w:w="100"/>
              <w:bottom w:type="dxa" w:w="60"/>
              <w:right w:type="dxa" w:w="100"/>
            </w:tcMar>
          </w:tcPr>
          <w:p>
            <w:r>
              <w:rPr>
                <w:b/>
                <w:bCs/>
                <w:color w:val="FFFFFF"/>
                <w:sz w:val="20"/>
                <w:szCs w:val="20"/>
              </w:rPr>
              <w:t xml:space="preserve">Escenario</w:t>
            </w:r>
          </w:p>
        </w:tc>
        <w:tc>
          <w:tcPr>
            <w:tcW w:type="dxa" w:w="3000"/>
            <w:shd w:fill="EDA100" w:val="clear"/>
            <w:tcMar>
              <w:top w:type="dxa" w:w="60"/>
              <w:left w:type="dxa" w:w="100"/>
              <w:bottom w:type="dxa" w:w="60"/>
              <w:right w:type="dxa" w:w="100"/>
            </w:tcMar>
          </w:tcPr>
          <w:p>
            <w:r>
              <w:rPr>
                <w:b/>
                <w:bCs/>
                <w:color w:val="FFFFFF"/>
                <w:sz w:val="20"/>
                <w:szCs w:val="20"/>
              </w:rPr>
              <w:t xml:space="preserve">Mínimo</w:t>
            </w:r>
          </w:p>
        </w:tc>
        <w:tc>
          <w:tcPr>
            <w:tcW w:type="dxa" w:w="3000"/>
            <w:shd w:fill="EDA100" w:val="clear"/>
            <w:tcMar>
              <w:top w:type="dxa" w:w="60"/>
              <w:left w:type="dxa" w:w="100"/>
              <w:bottom w:type="dxa" w:w="60"/>
              <w:right w:type="dxa" w:w="100"/>
            </w:tcMar>
          </w:tcPr>
          <w:p>
            <w:r>
              <w:rPr>
                <w:b/>
                <w:bCs/>
                <w:color w:val="FFFFFF"/>
                <w:sz w:val="20"/>
                <w:szCs w:val="20"/>
              </w:rPr>
              <w:t xml:space="preserve">Máximo</w:t>
            </w:r>
          </w:p>
        </w:tc>
      </w:tr>
      <w:tr>
        <w:tc>
          <w:tcPr>
            <w:tcW w:type="dxa" w:w="3000"/>
            <w:tcMar>
              <w:top w:type="dxa" w:w="60"/>
              <w:left w:type="dxa" w:w="100"/>
              <w:bottom w:type="dxa" w:w="60"/>
              <w:right w:type="dxa" w:w="100"/>
            </w:tcMar>
          </w:tcPr>
          <w:p>
            <w:r>
              <w:rPr>
                <w:b w:val="false"/>
                <w:bCs w:val="false"/>
                <w:sz w:val="20"/>
                <w:szCs w:val="20"/>
              </w:rPr>
              <w:t xml:space="preserve">Alcista</w:t>
            </w:r>
          </w:p>
        </w:tc>
        <w:tc>
          <w:tcPr>
            <w:tcW w:type="dxa" w:w="3000"/>
            <w:tcMar>
              <w:top w:type="dxa" w:w="60"/>
              <w:left w:type="dxa" w:w="100"/>
              <w:bottom w:type="dxa" w:w="60"/>
              <w:right w:type="dxa" w:w="100"/>
            </w:tcMar>
          </w:tcPr>
          <w:p>
            <w:r>
              <w:rPr>
                <w:b w:val="false"/>
                <w:bCs w:val="false"/>
                <w:sz w:val="20"/>
                <w:szCs w:val="20"/>
              </w:rPr>
              <w:t xml:space="preserve">+8%</w:t>
            </w:r>
          </w:p>
        </w:tc>
        <w:tc>
          <w:tcPr>
            <w:tcW w:type="dxa" w:w="3000"/>
            <w:tcMar>
              <w:top w:type="dxa" w:w="60"/>
              <w:left w:type="dxa" w:w="100"/>
              <w:bottom w:type="dxa" w:w="60"/>
              <w:right w:type="dxa" w:w="100"/>
            </w:tcMar>
          </w:tcPr>
          <w:p>
            <w:r>
              <w:rPr>
                <w:b w:val="false"/>
                <w:bCs w:val="false"/>
                <w:sz w:val="20"/>
                <w:szCs w:val="20"/>
              </w:rPr>
              <w:t xml:space="preserve">+15%</w:t>
            </w:r>
          </w:p>
        </w:tc>
      </w:tr>
      <w:tr>
        <w:tc>
          <w:tcPr>
            <w:tcW w:type="dxa" w:w="3000"/>
            <w:tcMar>
              <w:top w:type="dxa" w:w="60"/>
              <w:left w:type="dxa" w:w="100"/>
              <w:bottom w:type="dxa" w:w="60"/>
              <w:right w:type="dxa" w:w="100"/>
            </w:tcMar>
          </w:tcPr>
          <w:p>
            <w:r>
              <w:rPr>
                <w:b w:val="false"/>
                <w:bCs w:val="false"/>
                <w:sz w:val="20"/>
                <w:szCs w:val="20"/>
              </w:rPr>
              <w:t xml:space="preserve">Base</w:t>
            </w:r>
          </w:p>
        </w:tc>
        <w:tc>
          <w:tcPr>
            <w:tcW w:type="dxa" w:w="3000"/>
            <w:tcMar>
              <w:top w:type="dxa" w:w="60"/>
              <w:left w:type="dxa" w:w="100"/>
              <w:bottom w:type="dxa" w:w="60"/>
              <w:right w:type="dxa" w:w="100"/>
            </w:tcMar>
          </w:tcPr>
          <w:p>
            <w:r>
              <w:rPr>
                <w:b w:val="false"/>
                <w:bCs w:val="false"/>
                <w:sz w:val="20"/>
                <w:szCs w:val="20"/>
              </w:rPr>
              <w:t xml:space="preserve">0%</w:t>
            </w:r>
          </w:p>
        </w:tc>
        <w:tc>
          <w:tcPr>
            <w:tcW w:type="dxa" w:w="3000"/>
            <w:tcMar>
              <w:top w:type="dxa" w:w="60"/>
              <w:left w:type="dxa" w:w="100"/>
              <w:bottom w:type="dxa" w:w="60"/>
              <w:right w:type="dxa" w:w="100"/>
            </w:tcMar>
          </w:tcPr>
          <w:p>
            <w:r>
              <w:rPr>
                <w:b w:val="false"/>
                <w:bCs w:val="false"/>
                <w:sz w:val="20"/>
                <w:szCs w:val="20"/>
              </w:rPr>
              <w:t xml:space="preserve">+8%</w:t>
            </w:r>
          </w:p>
        </w:tc>
      </w:tr>
      <w:tr>
        <w:tc>
          <w:tcPr>
            <w:tcW w:type="dxa" w:w="3000"/>
            <w:tcMar>
              <w:top w:type="dxa" w:w="60"/>
              <w:left w:type="dxa" w:w="100"/>
              <w:bottom w:type="dxa" w:w="60"/>
              <w:right w:type="dxa" w:w="100"/>
            </w:tcMar>
          </w:tcPr>
          <w:p>
            <w:r>
              <w:rPr>
                <w:b w:val="false"/>
                <w:bCs w:val="false"/>
                <w:sz w:val="20"/>
                <w:szCs w:val="20"/>
              </w:rPr>
              <w:t xml:space="preserve">Bajista</w:t>
            </w:r>
          </w:p>
        </w:tc>
        <w:tc>
          <w:tcPr>
            <w:tcW w:type="dxa" w:w="3000"/>
            <w:tcMar>
              <w:top w:type="dxa" w:w="60"/>
              <w:left w:type="dxa" w:w="100"/>
              <w:bottom w:type="dxa" w:w="60"/>
              <w:right w:type="dxa" w:w="100"/>
            </w:tcMar>
          </w:tcPr>
          <w:p>
            <w:r>
              <w:rPr>
                <w:b w:val="false"/>
                <w:bCs w:val="false"/>
                <w:sz w:val="20"/>
                <w:szCs w:val="20"/>
              </w:rPr>
              <w:t xml:space="preserve">−15%</w:t>
            </w:r>
          </w:p>
        </w:tc>
        <w:tc>
          <w:tcPr>
            <w:tcW w:type="dxa" w:w="3000"/>
            <w:tcMar>
              <w:top w:type="dxa" w:w="60"/>
              <w:left w:type="dxa" w:w="100"/>
              <w:bottom w:type="dxa" w:w="60"/>
              <w:right w:type="dxa" w:w="100"/>
            </w:tcMar>
          </w:tcPr>
          <w:p>
            <w:r>
              <w:rPr>
                <w:b w:val="false"/>
                <w:bCs w:val="false"/>
                <w:sz w:val="20"/>
                <w:szCs w:val="20"/>
              </w:rPr>
              <w:t xml:space="preserve">−3%</w:t>
            </w:r>
          </w:p>
        </w:tc>
      </w:tr>
    </w:tbl>
    <w:p>
      <w:pPr>
        <w:spacing w:after="140"/>
      </w:pPr>
      <w:r>
        <w:rPr>
          <w:b w:val="false"/>
          <w:bCs w:val="false"/>
          <w:i w:val="false"/>
          <w:iCs w:val="false"/>
        </w:rPr>
        <w:t xml:space="preserve">Alcista: la Fed no sube tasas en 2026 pese al voto dividido; el repunte de inflación se confirma transitorio; la tensión UE-EE.UU. por Groenlandia se resuelve sin nuevos aranceles; resultados del Q3 de las "Magnificent Seven" sorprenden al alza.</w:t>
      </w:r>
    </w:p>
    <w:p>
      <w:pPr>
        <w:spacing w:after="140"/>
      </w:pPr>
      <w:r>
        <w:rPr>
          <w:b w:val="false"/>
          <w:bCs w:val="false"/>
          <w:i w:val="false"/>
          <w:iCs w:val="false"/>
        </w:rPr>
        <w:t xml:space="preserve">Base: continuidad del patrón reciente; la Fed mantiene tasas estables; el BCE sube tipos una vez sin desestabilizar mercados; persisten episodios puntuales de volatilidad arancelaria sin escalada mayor.</w:t>
      </w:r>
    </w:p>
    <w:p>
      <w:pPr>
        <w:spacing w:after="140"/>
      </w:pPr>
      <w:r>
        <w:rPr>
          <w:b w:val="false"/>
          <w:bCs w:val="false"/>
          <w:i w:val="false"/>
          <w:iCs w:val="false"/>
        </w:rPr>
        <w:t xml:space="preserve">Bajista: la inflación no cede y la Fed sube tasas; escalada real del conflicto comercial UE-EE.UU.; corrección concentrada en las "Siete Magníficas" que arrastra al índice; agravamiento del conflicto en Ucrania u Oriente Medio.</w:t>
      </w:r>
    </w:p>
    <w:p>
      <w:pPr>
        <w:spacing w:after="140"/>
      </w:pPr>
      <w:r>
        <w:rPr>
          <w:b w:val="false"/>
          <w:bCs w:val="false"/>
          <w:i w:val="false"/>
          <w:iCs w:val="false"/>
        </w:rPr>
        <w:t xml:space="preserve">Para el inversor europeo, a cualquiera de estos escenarios en USD hay que sumar o restar el efecto del tipo de cambio EUR/USD, GBP/USD o USD/CHF durante el periodo.</w:t>
      </w:r>
    </w:p>
    <w:p>
      <w:pPr>
        <w:pStyle w:val="Heading2"/>
        <w:spacing w:after="120" w:before="260"/>
      </w:pPr>
      <w:r>
        <w:t xml:space="preserve">Concentración del S&amp;P 500 — peso de las mayores compañías</w:t>
      </w:r>
    </w:p>
    <w:p>
      <w:pPr>
        <w:spacing w:after="60" w:before="100"/>
        <w:jc w:val="center"/>
      </w:pPr>
      <w:r>
        <w:drawing>
          <wp:inline distT="0" distB="0" distL="0" distR="0">
            <wp:extent cx="5334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295525"/>
                    </a:xfrm>
                    <a:prstGeom prst="rect">
                      <a:avLst/>
                    </a:prstGeom>
                  </pic:spPr>
                </pic:pic>
              </a:graphicData>
            </a:graphic>
          </wp:inline>
        </w:drawing>
      </w:r>
    </w:p>
    <w:p>
      <w:pPr>
        <w:spacing w:after="200"/>
        <w:jc w:val="center"/>
      </w:pPr>
      <w:r>
        <w:rPr>
          <w:i/>
          <w:iCs/>
          <w:color w:val="52514E"/>
          <w:sz w:val="18"/>
          <w:szCs w:val="18"/>
        </w:rPr>
        <w:t xml:space="preserve">Peso de las "Siete Magníficas" y del Top 10 en el S&amp;P 500. Fuente: cobertura agregada citando State Street / Forbes, 2026-07-24 (fuera de la lista estricta de fuentes; contrastar en Reuters/Bloomberg/FT).</w:t>
      </w:r>
    </w:p>
    <w:p>
      <w:pPr>
        <w:pStyle w:val="Heading2"/>
        <w:spacing w:after="120" w:before="260"/>
      </w:pPr>
      <w:r>
        <w:t xml:space="preserve">Riesgos</w:t>
      </w:r>
    </w:p>
    <w:p>
      <w:pPr>
        <w:pStyle w:val="ListParagraph"/>
        <w:numPr>
          <w:ilvl w:val="0"/>
          <w:numId w:val="2"/>
        </w:numPr>
        <w:spacing w:after="80"/>
      </w:pPr>
      <w:r>
        <w:t xml:space="preserve">Concentración de índice: ~31.5% del S&amp;P 500 en siete valores tecnológicos (top 10 ~38%); un shock específico de ese sector afecta de forma desproporcionada a todo el fondo.</w:t>
      </w:r>
    </w:p>
    <w:p>
      <w:pPr>
        <w:pStyle w:val="ListParagraph"/>
        <w:numPr>
          <w:ilvl w:val="0"/>
          <w:numId w:val="2"/>
        </w:numPr>
        <w:spacing w:after="80"/>
      </w:pPr>
      <w:r>
        <w:t xml:space="preserve">Riesgo de divisa (unhedged): sin cobertura EUR/USD, GBP/USD ni USD/CHF.</w:t>
      </w:r>
    </w:p>
    <w:p>
      <w:pPr>
        <w:pStyle w:val="ListParagraph"/>
        <w:numPr>
          <w:ilvl w:val="0"/>
          <w:numId w:val="2"/>
        </w:numPr>
        <w:spacing w:after="80"/>
      </w:pPr>
      <w:r>
        <w:t xml:space="preserve">Riesgo de política monetaria en ambos lados del Atlántico: posible subida de la Fed en 2026 y ciclo de subidas del BCE desde septiembre.</w:t>
      </w:r>
    </w:p>
    <w:p>
      <w:pPr>
        <w:pStyle w:val="ListParagraph"/>
        <w:numPr>
          <w:ilvl w:val="0"/>
          <w:numId w:val="2"/>
        </w:numPr>
        <w:spacing w:after="80"/>
      </w:pPr>
      <w:r>
        <w:t xml:space="preserve">Riesgo geopolítico-comercial: tensiones arancelarias recurrentes EE.UU.-UE (2025-2026).</w:t>
      </w:r>
    </w:p>
    <w:p>
      <w:pPr>
        <w:pStyle w:val="ListParagraph"/>
        <w:numPr>
          <w:ilvl w:val="0"/>
          <w:numId w:val="2"/>
        </w:numPr>
        <w:spacing w:after="80"/>
      </w:pPr>
      <w:r>
        <w:t xml:space="preserve">Riesgo de "burbuja de IA": crecimiento de beneficios dependiente del gasto de capital de un puñado de hyperscalers, con dispersión creciente entre ellos.</w:t>
      </w:r>
    </w:p>
    <w:p>
      <w:pPr>
        <w:pStyle w:val="ListParagraph"/>
        <w:numPr>
          <w:ilvl w:val="0"/>
          <w:numId w:val="2"/>
        </w:numPr>
        <w:spacing w:after="80"/>
      </w:pPr>
      <w:r>
        <w:t xml:space="preserve">Riesgo de contraparte/estructura del ETF: réplica física reduce pero no elimina riesgos operativos (préstamo de valores, custodia), no cuantificados por falta de datos verificables.</w:t>
      </w:r>
    </w:p>
    <w:p>
      <w:pPr>
        <w:pStyle w:val="ListParagraph"/>
        <w:numPr>
          <w:ilvl w:val="0"/>
          <w:numId w:val="2"/>
        </w:numPr>
        <w:spacing w:after="80"/>
      </w:pPr>
      <w:r>
        <w:t xml:space="preserve">Riesgo energético transversal: la Fed y el BCE citaron presiones energéticas (Oriente Medio, Ucrania) como factor inflacionario en julio de 2026.</w:t>
      </w:r>
    </w:p>
    <w:p>
      <w:pPr>
        <w:pStyle w:val="ListParagraph"/>
        <w:numPr>
          <w:ilvl w:val="0"/>
          <w:numId w:val="2"/>
        </w:numPr>
        <w:spacing w:after="80"/>
      </w:pPr>
      <w:r>
        <w:t xml:space="preserve">Transparencia de datos: AUM exacto de CSPX y competidores, y tracking difference/error específicos, no verificados con una fuente de la lista de confianza en esta consulta; TER de VUSA basado en referencia general sin verificación directa.</w:t>
      </w:r>
    </w:p>
    <w:p>
      <w:pPr>
        <w:pStyle w:val="Heading2"/>
        <w:spacing w:after="120" w:before="260"/>
      </w:pPr>
      <w:r>
        <w:t xml:space="preserve">Opinión del analista</w:t>
      </w:r>
    </w:p>
    <w:p>
      <w:pPr>
        <w:spacing w:after="140"/>
      </w:pPr>
      <w:r>
        <w:rPr>
          <w:b w:val="false"/>
          <w:bCs w:val="false"/>
          <w:i w:val="false"/>
          <w:iCs w:val="false"/>
        </w:rPr>
        <w:t xml:space="preserve">CSPX cumple bien su función como vehículo de bajo coste para exposición al S&amp;P 500 desde Europa, y su domicilio irlandés lo hace fiscalmente más eficiente que comprar directamente un ETF estadounidense para un inversor no residente en EE. UU. Sin embargo, a julio de 2026 el instrumento no debe confundirse con "diversificación amplia": con cerca de un tercio del índice concentrado en siete valores tecnológicos, el riesgo real de CSPX se parece cada vez más al riesgo específico del sector de IA. Sumado a un cambio de régimen de política monetaria y a un contexto geopolítico con dos frentes de tensión energética abiertos, parece razonable que un inversor europeo que use CSPX como "core" de cartera lo complemente con otros bloques (renta fija, mercados emergentes, otros sectores).</w:t>
      </w:r>
    </w:p>
    <w:p>
      <w:pPr>
        <w:spacing w:after="140"/>
      </w:pPr>
      <w:r>
        <w:rPr>
          <w:b/>
          <w:bCs/>
          <w:i/>
          <w:iCs/>
        </w:rPr>
        <w:t xml:space="preserve">Esto es una opinión educativa personal, no una recomendación de inversión.</w:t>
      </w:r>
    </w:p>
    <w:p>
      <w:pPr>
        <w:pStyle w:val="Heading2"/>
        <w:spacing w:after="120" w:before="260"/>
      </w:pPr>
      <w:r>
        <w:t xml:space="preserve">Fuentes consultadas</w:t>
      </w:r>
    </w:p>
    <w:p>
      <w:pPr>
        <w:pStyle w:val="ListParagraph"/>
        <w:numPr>
          <w:ilvl w:val="0"/>
          <w:numId w:val="1"/>
        </w:numPr>
        <w:spacing w:after="80"/>
      </w:pPr>
      <w:r>
        <w:t xml:space="preserve">Banco Central Europeo (BCE) — comunicado de política monetaria 23-jul-2026 y eurofxref — ecb.europa.eu, consultado 2026-07-29.</w:t>
      </w:r>
    </w:p>
    <w:p>
      <w:pPr>
        <w:pStyle w:val="ListParagraph"/>
        <w:numPr>
          <w:ilvl w:val="0"/>
          <w:numId w:val="1"/>
        </w:numPr>
        <w:spacing w:after="80"/>
      </w:pPr>
      <w:r>
        <w:t xml:space="preserve">ESMA — marco regulatorio UCITS — esma.europa.eu, consultado 2026-07-29.</w:t>
      </w:r>
    </w:p>
    <w:p>
      <w:pPr>
        <w:pStyle w:val="ListParagraph"/>
        <w:numPr>
          <w:ilvl w:val="0"/>
          <w:numId w:val="1"/>
        </w:numPr>
        <w:spacing w:after="80"/>
      </w:pPr>
      <w:r>
        <w:t xml:space="preserve">Morningstar — fichas de rendimiento y perfil de CSPX (XLON/XAMS/XMIL/XSWX), consultado 2026-07-29.</w:t>
      </w:r>
    </w:p>
    <w:p>
      <w:pPr>
        <w:pStyle w:val="ListParagraph"/>
        <w:numPr>
          <w:ilvl w:val="0"/>
          <w:numId w:val="1"/>
        </w:numPr>
        <w:spacing w:after="80"/>
      </w:pPr>
      <w:r>
        <w:t xml:space="preserve">Yahoo Finance — cotización e histórico de CSPX.L / CSPX.AS / CSSPX.MI / CSP1.L y VUAA.L, consultado 2026-07-29.</w:t>
      </w:r>
    </w:p>
    <w:p>
      <w:pPr>
        <w:pStyle w:val="ListParagraph"/>
        <w:numPr>
          <w:ilvl w:val="0"/>
          <w:numId w:val="1"/>
        </w:numPr>
        <w:spacing w:after="80"/>
      </w:pPr>
      <w:r>
        <w:t xml:space="preserve">Investing.com — cotización de CSPX, consultado 2026-07-29.</w:t>
      </w:r>
    </w:p>
    <w:p>
      <w:pPr>
        <w:pStyle w:val="ListParagraph"/>
        <w:numPr>
          <w:ilvl w:val="0"/>
          <w:numId w:val="1"/>
        </w:numPr>
        <w:spacing w:after="80"/>
      </w:pPr>
      <w:r>
        <w:t xml:space="preserve">Reuters / Bloomberg / CNBC / Financial Times / NPR / Fox Business / CNN — cobertura de la decisión de la Fed del 29-jul-2026.</w:t>
      </w:r>
    </w:p>
    <w:p>
      <w:pPr>
        <w:pStyle w:val="ListParagraph"/>
        <w:numPr>
          <w:ilvl w:val="0"/>
          <w:numId w:val="1"/>
        </w:numPr>
        <w:spacing w:after="80"/>
      </w:pPr>
      <w:r>
        <w:t xml:space="preserve">Bloomberg — ficha de cotización de VUAA (VUAA:TH), consultado 2026-07-29.</w:t>
      </w:r>
    </w:p>
    <w:p>
      <w:pPr>
        <w:pStyle w:val="ListParagraph"/>
        <w:numPr>
          <w:ilvl w:val="0"/>
          <w:numId w:val="1"/>
        </w:numPr>
        <w:spacing w:after="80"/>
      </w:pPr>
      <w:r>
        <w:t xml:space="preserve">Reserva Federal de EE. UU. — comunicado e implementation note 29-jul-2026, federalreserve.gov.</w:t>
      </w:r>
    </w:p>
    <w:p>
      <w:pPr>
        <w:pStyle w:val="ListParagraph"/>
        <w:numPr>
          <w:ilvl w:val="0"/>
          <w:numId w:val="1"/>
        </w:numPr>
        <w:spacing w:after="80"/>
      </w:pPr>
      <w:r>
        <w:t xml:space="preserve">FRED (Fed de San Luis) — nivel de cierre del S&amp;P 500, fred.stlouisfed.org, consultado 2026-07-29.</w:t>
      </w:r>
    </w:p>
    <w:p>
      <w:pPr>
        <w:pStyle w:val="ListParagraph"/>
        <w:numPr>
          <w:ilvl w:val="0"/>
          <w:numId w:val="1"/>
        </w:numPr>
        <w:spacing w:after="80"/>
      </w:pPr>
      <w:r>
        <w:t xml:space="preserve">Euronews — decisión del Banco de Inglaterra, junio de 2026.</w:t>
      </w:r>
    </w:p>
    <w:p>
      <w:pPr>
        <w:pStyle w:val="ListParagraph"/>
        <w:numPr>
          <w:ilvl w:val="0"/>
          <w:numId w:val="1"/>
        </w:numPr>
        <w:spacing w:after="80"/>
      </w:pPr>
      <w:r>
        <w:t xml:space="preserve">Cobertura agregada (State Street Global Advisors, Forbes) sobre concentración "Magnificent Seven" — consultado 2026-07-24 (fuera de la lista estricta de fuentes de este sub-agente; contrastar en Reuters/Bloomberg/FT).</w:t>
      </w:r>
    </w:p>
    <w:p>
      <w:pPr>
        <w:pStyle w:val="ListParagraph"/>
        <w:numPr>
          <w:ilvl w:val="0"/>
          <w:numId w:val="1"/>
        </w:numPr>
        <w:spacing w:after="80"/>
      </w:pPr>
      <w:r>
        <w:t xml:space="preserve">Ficha previa del repositorio: bolsas/europa/investigacion-activos/2026-07-24-cspx-ishares-sp500-analisis.md (fuentes originales: Yahoo Finance, Morningstar, Investing.com, justETF, BlackRock/iShares, PortfoliosLab).</w:t>
      </w:r>
    </w:p>
    <w:p>
      <w:pPr>
        <w:spacing w:after="140"/>
      </w:pPr>
      <w:r>
        <w:rPr>
          <w:b w:val="false"/>
          <w:bCs w:val="false"/>
          <w:i w:val="false"/>
          <w:iCs w:val="false"/>
        </w:rPr>
        <w:t xml:space="preserve"/>
      </w:r>
    </w:p>
    <w:p>
      <w:pPr>
        <w:spacing w:after="140"/>
      </w:pPr>
      <w:r>
        <w:rPr>
          <w:b w:val="false"/>
          <w:bCs w:val="false"/>
          <w:i/>
          <w:iCs/>
          <w:sz w:val="18"/>
          <w:szCs w:val="18"/>
        </w:rPr>
        <w:t xml:space="preserve">Nota: este documento es material de estudio y análisis personal, no asesoría financiera profesional (CLAUDE.md §6). Documento completo con fuentes: bolsas/europa/oportunidades-inversion/2026-07-29-cspx-analisis.md. Gráfico interactivo: 2026-07-29-cspx-grafico.html.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a75944ca2c0922dc5b3f0e6d354f2f2fc1978f.png"/><Relationship Id="rId8" Type="http://schemas.openxmlformats.org/officeDocument/2006/relationships/image" Target="media/d913b98585c9da06905eaa8755252186827e1740.png"/><Relationship Id="rId9" Type="http://schemas.openxmlformats.org/officeDocument/2006/relationships/image" Target="media/caf882ea7111d234d78ce1a742b9cce1c496f7c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2026-07-29T20:36:08.826Z</dcterms:created>
  <dcterms:modified xsi:type="dcterms:W3CDTF">2026-07-29T20:36:08.826Z</dcterms:modified>
</cp:coreProperties>
</file>

<file path=docProps/custom.xml><?xml version="1.0" encoding="utf-8"?>
<Properties xmlns="http://schemas.openxmlformats.org/officeDocument/2006/custom-properties" xmlns:vt="http://schemas.openxmlformats.org/officeDocument/2006/docPropsVTypes"/>
</file>