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3BBB" w:rsidRDefault="002E3BBB" w:rsidP="002E3BBB">
      <w:pPr>
        <w:shd w:val="clear" w:color="auto" w:fill="FFFFFF"/>
        <w:spacing w:after="0" w:line="240" w:lineRule="auto"/>
        <w:textAlignment w:val="baseline"/>
        <w:rPr>
          <w:rFonts w:ascii="Calibri" w:eastAsia="Times New Roman" w:hAnsi="Calibri" w:cs="Calibri"/>
          <w:color w:val="000000"/>
          <w:sz w:val="24"/>
          <w:szCs w:val="24"/>
          <w:lang w:val="es-CO" w:eastAsia="es-CO"/>
        </w:rPr>
      </w:pPr>
      <w:r w:rsidRPr="002E3BBB">
        <w:rPr>
          <w:rFonts w:ascii="Calibri" w:eastAsia="Times New Roman" w:hAnsi="Calibri" w:cs="Calibri"/>
          <w:color w:val="000000"/>
          <w:sz w:val="24"/>
          <w:szCs w:val="24"/>
          <w:lang w:val="es-CO" w:eastAsia="es-CO"/>
        </w:rPr>
        <w:t xml:space="preserve">A propósito del </w:t>
      </w:r>
      <w:hyperlink r:id="rId5" w:history="1">
        <w:r w:rsidRPr="002E3BBB">
          <w:rPr>
            <w:rStyle w:val="Hipervnculo"/>
            <w:rFonts w:ascii="Calibri" w:eastAsia="Times New Roman" w:hAnsi="Calibri" w:cs="Calibri"/>
            <w:sz w:val="24"/>
            <w:szCs w:val="24"/>
            <w:lang w:val="es-CO" w:eastAsia="es-CO"/>
          </w:rPr>
          <w:t>boletín que envió el Dr. Sojo</w:t>
        </w:r>
      </w:hyperlink>
      <w:r>
        <w:rPr>
          <w:rFonts w:ascii="Calibri" w:eastAsia="Times New Roman" w:hAnsi="Calibri" w:cs="Calibri"/>
          <w:color w:val="000000"/>
          <w:sz w:val="24"/>
          <w:szCs w:val="24"/>
          <w:lang w:val="es-CO" w:eastAsia="es-CO"/>
        </w:rPr>
        <w:t xml:space="preserve"> sobre la actualización de datos del DENUE 2019, hubo algunos datos interesantes </w:t>
      </w:r>
      <w:r w:rsidR="00786D1E">
        <w:rPr>
          <w:rFonts w:ascii="Calibri" w:eastAsia="Times New Roman" w:hAnsi="Calibri" w:cs="Calibri"/>
          <w:color w:val="000000"/>
          <w:sz w:val="24"/>
          <w:szCs w:val="24"/>
          <w:lang w:val="es-CO" w:eastAsia="es-CO"/>
        </w:rPr>
        <w:t xml:space="preserve">que me llamaron la atención y </w:t>
      </w:r>
      <w:r>
        <w:rPr>
          <w:rFonts w:ascii="Calibri" w:eastAsia="Times New Roman" w:hAnsi="Calibri" w:cs="Calibri"/>
          <w:color w:val="000000"/>
          <w:sz w:val="24"/>
          <w:szCs w:val="24"/>
          <w:lang w:val="es-CO" w:eastAsia="es-CO"/>
        </w:rPr>
        <w:t xml:space="preserve">de los que quise </w:t>
      </w:r>
      <w:r w:rsidR="004B6258">
        <w:rPr>
          <w:rFonts w:ascii="Calibri" w:eastAsia="Times New Roman" w:hAnsi="Calibri" w:cs="Calibri"/>
          <w:color w:val="000000"/>
          <w:sz w:val="24"/>
          <w:szCs w:val="24"/>
          <w:lang w:val="es-CO" w:eastAsia="es-CO"/>
        </w:rPr>
        <w:t xml:space="preserve">conocer más </w:t>
      </w:r>
      <w:r>
        <w:rPr>
          <w:rFonts w:ascii="Calibri" w:eastAsia="Times New Roman" w:hAnsi="Calibri" w:cs="Calibri"/>
          <w:color w:val="000000"/>
          <w:sz w:val="24"/>
          <w:szCs w:val="24"/>
          <w:lang w:val="es-CO" w:eastAsia="es-CO"/>
        </w:rPr>
        <w:t>detalles.</w:t>
      </w:r>
    </w:p>
    <w:p w:rsidR="004B6258" w:rsidRDefault="004B6258" w:rsidP="002E3BBB">
      <w:pPr>
        <w:shd w:val="clear" w:color="auto" w:fill="FFFFFF"/>
        <w:spacing w:after="0" w:line="240" w:lineRule="auto"/>
        <w:textAlignment w:val="baseline"/>
        <w:rPr>
          <w:rFonts w:ascii="Calibri" w:eastAsia="Times New Roman" w:hAnsi="Calibri" w:cs="Calibri"/>
          <w:color w:val="000000"/>
          <w:sz w:val="24"/>
          <w:szCs w:val="24"/>
          <w:lang w:val="es-CO" w:eastAsia="es-CO"/>
        </w:rPr>
      </w:pPr>
    </w:p>
    <w:p w:rsidR="004B6258" w:rsidRDefault="004B6258" w:rsidP="005B3425">
      <w:pPr>
        <w:shd w:val="clear" w:color="auto" w:fill="FFFFFF"/>
        <w:spacing w:after="0" w:line="240" w:lineRule="auto"/>
        <w:jc w:val="both"/>
        <w:textAlignment w:val="baseline"/>
        <w:rPr>
          <w:rFonts w:ascii="Calibri" w:eastAsia="Times New Roman" w:hAnsi="Calibri" w:cs="Calibri"/>
          <w:color w:val="000000"/>
          <w:sz w:val="24"/>
          <w:szCs w:val="24"/>
          <w:lang w:val="es-CO" w:eastAsia="es-CO"/>
        </w:rPr>
      </w:pPr>
      <w:r>
        <w:rPr>
          <w:rFonts w:ascii="Calibri" w:eastAsia="Times New Roman" w:hAnsi="Calibri" w:cs="Calibri"/>
          <w:color w:val="000000"/>
          <w:sz w:val="24"/>
          <w:szCs w:val="24"/>
          <w:lang w:val="es-CO" w:eastAsia="es-CO"/>
        </w:rPr>
        <w:t>Aprovechando que todo el DENUE está georreferenciado lo primero que exploré fue la distribución espacial de los negocios, que puede apreciarse en los siguientes mapas</w:t>
      </w:r>
      <w:r w:rsidR="00FF5A36">
        <w:rPr>
          <w:rFonts w:ascii="Calibri" w:eastAsia="Times New Roman" w:hAnsi="Calibri" w:cs="Calibri"/>
          <w:color w:val="000000"/>
          <w:sz w:val="24"/>
          <w:szCs w:val="24"/>
          <w:lang w:val="es-CO" w:eastAsia="es-CO"/>
        </w:rPr>
        <w:t xml:space="preserve">. </w:t>
      </w:r>
      <w:r w:rsidR="005B3425">
        <w:rPr>
          <w:rFonts w:ascii="Calibri" w:eastAsia="Times New Roman" w:hAnsi="Calibri" w:cs="Calibri"/>
          <w:color w:val="000000"/>
          <w:sz w:val="24"/>
          <w:szCs w:val="24"/>
          <w:lang w:val="es-CO" w:eastAsia="es-CO"/>
        </w:rPr>
        <w:t xml:space="preserve">Lo que se </w:t>
      </w:r>
      <w:r w:rsidR="00786D1E">
        <w:rPr>
          <w:rFonts w:ascii="Calibri" w:eastAsia="Times New Roman" w:hAnsi="Calibri" w:cs="Calibri"/>
          <w:color w:val="000000"/>
          <w:sz w:val="24"/>
          <w:szCs w:val="24"/>
          <w:lang w:val="es-CO" w:eastAsia="es-CO"/>
        </w:rPr>
        <w:t xml:space="preserve">ve </w:t>
      </w:r>
      <w:r w:rsidR="005B3425">
        <w:rPr>
          <w:rFonts w:ascii="Calibri" w:eastAsia="Times New Roman" w:hAnsi="Calibri" w:cs="Calibri"/>
          <w:color w:val="000000"/>
          <w:sz w:val="24"/>
          <w:szCs w:val="24"/>
          <w:lang w:val="es-CO" w:eastAsia="es-CO"/>
        </w:rPr>
        <w:t xml:space="preserve">es que las </w:t>
      </w:r>
      <w:r w:rsidR="00FF5A36">
        <w:rPr>
          <w:rFonts w:ascii="Calibri" w:eastAsia="Times New Roman" w:hAnsi="Calibri" w:cs="Calibri"/>
          <w:color w:val="000000"/>
          <w:sz w:val="24"/>
          <w:szCs w:val="24"/>
          <w:lang w:val="es-CO" w:eastAsia="es-CO"/>
        </w:rPr>
        <w:t>unidades económicas están altamente concentradas en l</w:t>
      </w:r>
      <w:r w:rsidR="005B3425">
        <w:rPr>
          <w:rFonts w:ascii="Calibri" w:eastAsia="Times New Roman" w:hAnsi="Calibri" w:cs="Calibri"/>
          <w:color w:val="000000"/>
          <w:sz w:val="24"/>
          <w:szCs w:val="24"/>
          <w:lang w:val="es-CO" w:eastAsia="es-CO"/>
        </w:rPr>
        <w:t>as zonas urbanas más pobladas del país, especialmente en la zona centro y bajío occidente.</w:t>
      </w:r>
    </w:p>
    <w:p w:rsidR="004B6258" w:rsidRDefault="004B6258" w:rsidP="002E3BBB">
      <w:pPr>
        <w:shd w:val="clear" w:color="auto" w:fill="FFFFFF"/>
        <w:spacing w:after="0" w:line="240" w:lineRule="auto"/>
        <w:textAlignment w:val="baseline"/>
        <w:rPr>
          <w:rFonts w:ascii="Calibri" w:eastAsia="Times New Roman" w:hAnsi="Calibri" w:cs="Calibri"/>
          <w:color w:val="000000"/>
          <w:sz w:val="24"/>
          <w:szCs w:val="24"/>
          <w:lang w:val="es-CO" w:eastAsia="es-CO"/>
        </w:rPr>
      </w:pPr>
    </w:p>
    <w:p w:rsidR="00786D1E" w:rsidRDefault="004B6258" w:rsidP="002E3BBB">
      <w:pPr>
        <w:shd w:val="clear" w:color="auto" w:fill="FFFFFF"/>
        <w:spacing w:after="0" w:line="240" w:lineRule="auto"/>
        <w:textAlignment w:val="baseline"/>
        <w:rPr>
          <w:rFonts w:ascii="Calibri" w:eastAsia="Times New Roman" w:hAnsi="Calibri" w:cs="Calibri"/>
          <w:color w:val="000000"/>
          <w:sz w:val="24"/>
          <w:szCs w:val="24"/>
          <w:lang w:val="es-CO" w:eastAsia="es-CO"/>
        </w:rPr>
      </w:pPr>
      <w:r>
        <w:rPr>
          <w:noProof/>
        </w:rPr>
        <w:drawing>
          <wp:inline distT="0" distB="0" distL="0" distR="0">
            <wp:extent cx="5348377" cy="4015821"/>
            <wp:effectExtent l="0" t="0" r="508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78260" cy="4038259"/>
                    </a:xfrm>
                    <a:prstGeom prst="rect">
                      <a:avLst/>
                    </a:prstGeom>
                    <a:noFill/>
                    <a:ln>
                      <a:noFill/>
                    </a:ln>
                  </pic:spPr>
                </pic:pic>
              </a:graphicData>
            </a:graphic>
          </wp:inline>
        </w:drawing>
      </w:r>
    </w:p>
    <w:p w:rsidR="00786D1E" w:rsidRDefault="00786D1E" w:rsidP="002E3BBB">
      <w:pPr>
        <w:shd w:val="clear" w:color="auto" w:fill="FFFFFF"/>
        <w:spacing w:after="0" w:line="240" w:lineRule="auto"/>
        <w:textAlignment w:val="baseline"/>
        <w:rPr>
          <w:rFonts w:ascii="Calibri" w:eastAsia="Times New Roman" w:hAnsi="Calibri" w:cs="Calibri"/>
          <w:color w:val="000000"/>
          <w:sz w:val="24"/>
          <w:szCs w:val="24"/>
          <w:lang w:val="es-CO" w:eastAsia="es-CO"/>
        </w:rPr>
      </w:pPr>
    </w:p>
    <w:p w:rsidR="00786D1E" w:rsidRDefault="00786D1E" w:rsidP="00786D1E">
      <w:pPr>
        <w:shd w:val="clear" w:color="auto" w:fill="FFFFFF"/>
        <w:spacing w:after="0" w:line="240" w:lineRule="auto"/>
        <w:jc w:val="both"/>
        <w:textAlignment w:val="baseline"/>
        <w:rPr>
          <w:rFonts w:ascii="Calibri" w:eastAsia="Times New Roman" w:hAnsi="Calibri" w:cs="Calibri"/>
          <w:color w:val="000000"/>
          <w:sz w:val="24"/>
          <w:szCs w:val="24"/>
          <w:lang w:val="es-CO" w:eastAsia="es-CO"/>
        </w:rPr>
      </w:pPr>
      <w:r>
        <w:rPr>
          <w:rFonts w:ascii="Calibri" w:eastAsia="Times New Roman" w:hAnsi="Calibri" w:cs="Calibri"/>
          <w:color w:val="000000"/>
          <w:sz w:val="24"/>
          <w:szCs w:val="24"/>
          <w:lang w:val="es-CO" w:eastAsia="es-CO"/>
        </w:rPr>
        <w:t>En la Zona Metropolitana del Valle de México (ZMVM), los negocios se concentran principalmente en la zona céntrica de la Ciudad de México, en las delegaciones Cuauhtémoc, Miguel Hidalgo y Benito Juárez, aunque en general todos los municipios de la zona muestran una alta densidad de unidades económicas.</w:t>
      </w:r>
    </w:p>
    <w:p w:rsidR="004B6258" w:rsidRDefault="004B6258" w:rsidP="002E3BBB">
      <w:pPr>
        <w:shd w:val="clear" w:color="auto" w:fill="FFFFFF"/>
        <w:spacing w:after="0" w:line="240" w:lineRule="auto"/>
        <w:textAlignment w:val="baseline"/>
        <w:rPr>
          <w:rFonts w:ascii="Calibri" w:eastAsia="Times New Roman" w:hAnsi="Calibri" w:cs="Calibri"/>
          <w:color w:val="000000"/>
          <w:sz w:val="24"/>
          <w:szCs w:val="24"/>
          <w:lang w:val="es-CO" w:eastAsia="es-CO"/>
        </w:rPr>
      </w:pPr>
      <w:r>
        <w:rPr>
          <w:noProof/>
        </w:rPr>
        <w:lastRenderedPageBreak/>
        <w:drawing>
          <wp:inline distT="0" distB="0" distL="0" distR="0">
            <wp:extent cx="4945774" cy="3713528"/>
            <wp:effectExtent l="0" t="0" r="762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3815" cy="3727074"/>
                    </a:xfrm>
                    <a:prstGeom prst="rect">
                      <a:avLst/>
                    </a:prstGeom>
                    <a:noFill/>
                    <a:ln>
                      <a:noFill/>
                    </a:ln>
                  </pic:spPr>
                </pic:pic>
              </a:graphicData>
            </a:graphic>
          </wp:inline>
        </w:drawing>
      </w:r>
    </w:p>
    <w:p w:rsidR="002E3BBB" w:rsidRDefault="002E3BBB" w:rsidP="002E3BBB">
      <w:pPr>
        <w:shd w:val="clear" w:color="auto" w:fill="FFFFFF"/>
        <w:spacing w:after="0" w:line="240" w:lineRule="auto"/>
        <w:textAlignment w:val="baseline"/>
        <w:rPr>
          <w:rFonts w:ascii="Calibri" w:eastAsia="Times New Roman" w:hAnsi="Calibri" w:cs="Calibri"/>
          <w:color w:val="000000"/>
          <w:sz w:val="24"/>
          <w:szCs w:val="24"/>
          <w:lang w:val="es-CO" w:eastAsia="es-CO"/>
        </w:rPr>
      </w:pPr>
    </w:p>
    <w:p w:rsidR="002E3BBB" w:rsidRPr="002E3BBB" w:rsidRDefault="00786D1E" w:rsidP="00786D1E">
      <w:pPr>
        <w:shd w:val="clear" w:color="auto" w:fill="FFFFFF"/>
        <w:spacing w:after="0" w:line="240" w:lineRule="auto"/>
        <w:jc w:val="both"/>
        <w:textAlignment w:val="baseline"/>
        <w:rPr>
          <w:rFonts w:ascii="Calibri" w:eastAsia="Times New Roman" w:hAnsi="Calibri" w:cs="Calibri"/>
          <w:color w:val="000000"/>
          <w:sz w:val="24"/>
          <w:szCs w:val="24"/>
          <w:lang w:val="es-CO" w:eastAsia="es-CO"/>
        </w:rPr>
      </w:pPr>
      <w:r>
        <w:rPr>
          <w:rFonts w:ascii="Calibri" w:eastAsia="Times New Roman" w:hAnsi="Calibri" w:cs="Calibri"/>
          <w:color w:val="000000"/>
          <w:sz w:val="24"/>
          <w:szCs w:val="24"/>
          <w:lang w:val="es-CO" w:eastAsia="es-CO"/>
        </w:rPr>
        <w:t>Otro aspecto que llamó mi atención</w:t>
      </w:r>
      <w:r w:rsidR="002E3BBB" w:rsidRPr="002E3BBB">
        <w:rPr>
          <w:rFonts w:ascii="Calibri" w:eastAsia="Times New Roman" w:hAnsi="Calibri" w:cs="Calibri"/>
          <w:color w:val="000000"/>
          <w:sz w:val="24"/>
          <w:szCs w:val="24"/>
          <w:lang w:val="es-CO" w:eastAsia="es-CO"/>
        </w:rPr>
        <w:t xml:space="preserve"> </w:t>
      </w:r>
      <w:r>
        <w:rPr>
          <w:rFonts w:ascii="Calibri" w:eastAsia="Times New Roman" w:hAnsi="Calibri" w:cs="Calibri"/>
          <w:color w:val="000000"/>
          <w:sz w:val="24"/>
          <w:szCs w:val="24"/>
          <w:lang w:val="es-CO" w:eastAsia="es-CO"/>
        </w:rPr>
        <w:t xml:space="preserve">es que el comunicado </w:t>
      </w:r>
      <w:r w:rsidRPr="002E3BBB">
        <w:rPr>
          <w:rFonts w:ascii="Calibri" w:eastAsia="Times New Roman" w:hAnsi="Calibri" w:cs="Calibri"/>
          <w:color w:val="000000"/>
          <w:sz w:val="24"/>
          <w:szCs w:val="24"/>
          <w:lang w:val="es-CO" w:eastAsia="es-CO"/>
        </w:rPr>
        <w:t>menciona</w:t>
      </w:r>
      <w:r w:rsidR="002E3BBB" w:rsidRPr="002E3BBB">
        <w:rPr>
          <w:rFonts w:ascii="Calibri" w:eastAsia="Times New Roman" w:hAnsi="Calibri" w:cs="Calibri"/>
          <w:color w:val="000000"/>
          <w:sz w:val="24"/>
          <w:szCs w:val="24"/>
          <w:lang w:val="es-CO" w:eastAsia="es-CO"/>
        </w:rPr>
        <w:t xml:space="preserve"> el número de altas y de bajas de unidades económicas</w:t>
      </w:r>
      <w:r>
        <w:rPr>
          <w:rFonts w:ascii="Calibri" w:eastAsia="Times New Roman" w:hAnsi="Calibri" w:cs="Calibri"/>
          <w:color w:val="000000"/>
          <w:sz w:val="24"/>
          <w:szCs w:val="24"/>
          <w:lang w:val="es-CO" w:eastAsia="es-CO"/>
        </w:rPr>
        <w:t xml:space="preserve">, y </w:t>
      </w:r>
      <w:r w:rsidR="002E3BBB" w:rsidRPr="002E3BBB">
        <w:rPr>
          <w:rFonts w:ascii="Calibri" w:eastAsia="Times New Roman" w:hAnsi="Calibri" w:cs="Calibri"/>
          <w:color w:val="000000"/>
          <w:sz w:val="24"/>
          <w:szCs w:val="24"/>
          <w:lang w:val="es-CO" w:eastAsia="es-CO"/>
        </w:rPr>
        <w:t>me pareció que era pertinente, o al menos interesante, explorar un poco más sobre dónde y en qué sectores ocurrieron estos cambios. </w:t>
      </w:r>
    </w:p>
    <w:p w:rsidR="002E3BBB" w:rsidRPr="002E3BBB" w:rsidRDefault="002E3BBB" w:rsidP="002E3BBB">
      <w:pPr>
        <w:shd w:val="clear" w:color="auto" w:fill="FFFFFF"/>
        <w:spacing w:after="0" w:line="240" w:lineRule="auto"/>
        <w:textAlignment w:val="baseline"/>
        <w:rPr>
          <w:rFonts w:ascii="Calibri" w:eastAsia="Times New Roman" w:hAnsi="Calibri" w:cs="Calibri"/>
          <w:color w:val="000000"/>
          <w:sz w:val="24"/>
          <w:szCs w:val="24"/>
          <w:lang w:val="es-CO" w:eastAsia="es-CO"/>
        </w:rPr>
      </w:pPr>
    </w:p>
    <w:p w:rsidR="002E3BBB" w:rsidRPr="002E3BBB" w:rsidRDefault="002E3BBB" w:rsidP="00786D1E">
      <w:pPr>
        <w:shd w:val="clear" w:color="auto" w:fill="FFFFFF"/>
        <w:spacing w:after="0" w:line="240" w:lineRule="auto"/>
        <w:jc w:val="both"/>
        <w:textAlignment w:val="baseline"/>
        <w:rPr>
          <w:rFonts w:ascii="Calibri" w:eastAsia="Times New Roman" w:hAnsi="Calibri" w:cs="Calibri"/>
          <w:color w:val="000000"/>
          <w:sz w:val="24"/>
          <w:szCs w:val="24"/>
          <w:lang w:val="es-CO" w:eastAsia="es-CO"/>
        </w:rPr>
      </w:pPr>
      <w:r w:rsidRPr="002E3BBB">
        <w:rPr>
          <w:rFonts w:ascii="Calibri" w:eastAsia="Times New Roman" w:hAnsi="Calibri" w:cs="Calibri"/>
          <w:color w:val="000000"/>
          <w:sz w:val="24"/>
          <w:szCs w:val="24"/>
          <w:lang w:val="es-CO" w:eastAsia="es-CO"/>
        </w:rPr>
        <w:t>El informe dice que el 39% de las unidades económicas que había a inicios de 2015 se dio de baja y que el 46% de las UE del censo económico de 2019 son nuevas, es decir, no se habían registrado anteriormente. Esto me sorprendió mucho porque yo había comparado antes las bajas y altas en el DENUE de 2015 a 2019/6 y los cambios anuales no llegaban ni al 2%. Tengo entendido que el INEGI constantemente está actualizando el DENUE, sin embargo, la información nueva proviene principalmente de registros administrativos, que definitivamente no dan cuenta de la verdadera dinámica de la creación y el cierre de negocios.</w:t>
      </w:r>
    </w:p>
    <w:p w:rsidR="002E3BBB" w:rsidRPr="002E3BBB" w:rsidRDefault="002E3BBB" w:rsidP="002E3BBB">
      <w:pPr>
        <w:shd w:val="clear" w:color="auto" w:fill="FFFFFF"/>
        <w:spacing w:after="0" w:line="240" w:lineRule="auto"/>
        <w:textAlignment w:val="baseline"/>
        <w:rPr>
          <w:rFonts w:ascii="Calibri" w:eastAsia="Times New Roman" w:hAnsi="Calibri" w:cs="Calibri"/>
          <w:color w:val="000000"/>
          <w:sz w:val="24"/>
          <w:szCs w:val="24"/>
          <w:lang w:val="es-CO" w:eastAsia="es-CO"/>
        </w:rPr>
      </w:pPr>
    </w:p>
    <w:p w:rsidR="00663EB3" w:rsidRDefault="002E3BBB" w:rsidP="00786D1E">
      <w:pPr>
        <w:shd w:val="clear" w:color="auto" w:fill="FFFFFF"/>
        <w:spacing w:after="0" w:line="240" w:lineRule="auto"/>
        <w:jc w:val="both"/>
        <w:textAlignment w:val="baseline"/>
        <w:rPr>
          <w:rFonts w:ascii="Calibri" w:eastAsia="Times New Roman" w:hAnsi="Calibri" w:cs="Calibri"/>
          <w:color w:val="000000"/>
          <w:sz w:val="24"/>
          <w:szCs w:val="24"/>
          <w:lang w:val="es-CO" w:eastAsia="es-CO"/>
        </w:rPr>
      </w:pPr>
      <w:r w:rsidRPr="002E3BBB">
        <w:rPr>
          <w:rFonts w:ascii="Calibri" w:eastAsia="Times New Roman" w:hAnsi="Calibri" w:cs="Calibri"/>
          <w:color w:val="000000"/>
          <w:sz w:val="24"/>
          <w:szCs w:val="24"/>
          <w:lang w:val="es-CO" w:eastAsia="es-CO"/>
        </w:rPr>
        <w:t>Me puse entonces a explorar si podía replicar la cifra de INEGI y efectivamente encontré los porcentajes de bajas y altas reportados, con la ventaja de que al analizar todo el DENUE tenemos un nivel de detalle que nos permite llegar a desagregar por municipio, clase de actividad y tamaño de empresa.</w:t>
      </w:r>
      <w:r w:rsidR="00886615">
        <w:rPr>
          <w:rFonts w:ascii="Calibri" w:eastAsia="Times New Roman" w:hAnsi="Calibri" w:cs="Calibri"/>
          <w:color w:val="000000"/>
          <w:sz w:val="24"/>
          <w:szCs w:val="24"/>
          <w:lang w:val="es-CO" w:eastAsia="es-CO"/>
        </w:rPr>
        <w:t xml:space="preserve"> </w:t>
      </w:r>
      <w:r w:rsidR="00663EB3">
        <w:rPr>
          <w:rFonts w:ascii="Calibri" w:eastAsia="Times New Roman" w:hAnsi="Calibri" w:cs="Calibri"/>
          <w:color w:val="000000"/>
          <w:sz w:val="24"/>
          <w:szCs w:val="24"/>
          <w:lang w:val="es-CO" w:eastAsia="es-CO"/>
        </w:rPr>
        <w:t xml:space="preserve"> </w:t>
      </w:r>
    </w:p>
    <w:p w:rsidR="00663EB3" w:rsidRDefault="00663EB3" w:rsidP="00786D1E">
      <w:pPr>
        <w:shd w:val="clear" w:color="auto" w:fill="FFFFFF"/>
        <w:spacing w:after="0" w:line="240" w:lineRule="auto"/>
        <w:jc w:val="both"/>
        <w:textAlignment w:val="baseline"/>
        <w:rPr>
          <w:rFonts w:ascii="Calibri" w:eastAsia="Times New Roman" w:hAnsi="Calibri" w:cs="Calibri"/>
          <w:color w:val="000000"/>
          <w:sz w:val="24"/>
          <w:szCs w:val="24"/>
          <w:lang w:val="es-CO" w:eastAsia="es-CO"/>
        </w:rPr>
      </w:pPr>
    </w:p>
    <w:p w:rsidR="002E3BBB" w:rsidRPr="002E3BBB" w:rsidRDefault="00663EB3" w:rsidP="00786D1E">
      <w:pPr>
        <w:shd w:val="clear" w:color="auto" w:fill="FFFFFF"/>
        <w:spacing w:after="0" w:line="240" w:lineRule="auto"/>
        <w:jc w:val="both"/>
        <w:textAlignment w:val="baseline"/>
        <w:rPr>
          <w:rFonts w:ascii="Calibri" w:eastAsia="Times New Roman" w:hAnsi="Calibri" w:cs="Calibri"/>
          <w:color w:val="000000"/>
          <w:sz w:val="24"/>
          <w:szCs w:val="24"/>
          <w:lang w:val="es-CO" w:eastAsia="es-CO"/>
        </w:rPr>
      </w:pPr>
      <w:r>
        <w:rPr>
          <w:rFonts w:ascii="Calibri" w:eastAsia="Times New Roman" w:hAnsi="Calibri" w:cs="Calibri"/>
          <w:color w:val="000000"/>
          <w:sz w:val="24"/>
          <w:szCs w:val="24"/>
          <w:lang w:val="es-CO" w:eastAsia="es-CO"/>
        </w:rPr>
        <w:t>Continué la exploración</w:t>
      </w:r>
      <w:r w:rsidR="002E3BBB" w:rsidRPr="002E3BBB">
        <w:rPr>
          <w:rFonts w:ascii="Calibri" w:eastAsia="Times New Roman" w:hAnsi="Calibri" w:cs="Calibri"/>
          <w:color w:val="000000"/>
          <w:sz w:val="24"/>
          <w:szCs w:val="24"/>
          <w:lang w:val="es-CO" w:eastAsia="es-CO"/>
        </w:rPr>
        <w:t xml:space="preserve"> </w:t>
      </w:r>
      <w:r>
        <w:rPr>
          <w:rFonts w:ascii="Calibri" w:eastAsia="Times New Roman" w:hAnsi="Calibri" w:cs="Calibri"/>
          <w:color w:val="000000"/>
          <w:sz w:val="24"/>
          <w:szCs w:val="24"/>
          <w:lang w:val="es-CO" w:eastAsia="es-CO"/>
        </w:rPr>
        <w:t>graficando</w:t>
      </w:r>
      <w:r w:rsidR="002E3BBB" w:rsidRPr="002E3BBB">
        <w:rPr>
          <w:rFonts w:ascii="Calibri" w:eastAsia="Times New Roman" w:hAnsi="Calibri" w:cs="Calibri"/>
          <w:color w:val="000000"/>
          <w:sz w:val="24"/>
          <w:szCs w:val="24"/>
          <w:lang w:val="es-CO" w:eastAsia="es-CO"/>
        </w:rPr>
        <w:t xml:space="preserve"> las altas y bajas por sector económico (2 dígitos </w:t>
      </w:r>
      <w:proofErr w:type="spellStart"/>
      <w:r w:rsidR="002E3BBB" w:rsidRPr="002E3BBB">
        <w:rPr>
          <w:rFonts w:ascii="Calibri" w:eastAsia="Times New Roman" w:hAnsi="Calibri" w:cs="Calibri"/>
          <w:color w:val="000000"/>
          <w:sz w:val="24"/>
          <w:szCs w:val="24"/>
          <w:lang w:val="es-CO" w:eastAsia="es-CO"/>
        </w:rPr>
        <w:t>scian</w:t>
      </w:r>
      <w:proofErr w:type="spellEnd"/>
      <w:r w:rsidR="002E3BBB" w:rsidRPr="002E3BBB">
        <w:rPr>
          <w:rFonts w:ascii="Calibri" w:eastAsia="Times New Roman" w:hAnsi="Calibri" w:cs="Calibri"/>
          <w:color w:val="000000"/>
          <w:sz w:val="24"/>
          <w:szCs w:val="24"/>
          <w:lang w:val="es-CO" w:eastAsia="es-CO"/>
        </w:rPr>
        <w:t>). La figura de abajo está compuesta por dos gráficas. En la primera, la de la izquierda, se muestra el total de bajas (puntos ro</w:t>
      </w:r>
      <w:bookmarkStart w:id="0" w:name="_GoBack"/>
      <w:bookmarkEnd w:id="0"/>
      <w:r w:rsidR="002E3BBB" w:rsidRPr="002E3BBB">
        <w:rPr>
          <w:rFonts w:ascii="Calibri" w:eastAsia="Times New Roman" w:hAnsi="Calibri" w:cs="Calibri"/>
          <w:color w:val="000000"/>
          <w:sz w:val="24"/>
          <w:szCs w:val="24"/>
          <w:lang w:val="es-CO" w:eastAsia="es-CO"/>
        </w:rPr>
        <w:t xml:space="preserve">jos) y de altas (puntos verdes) como proporción del número de UE que había en 2015. Si el número de altas es mayor que el de bajas, la línea que une los dos puntos es de color verde, en caso contrario es de color rojo. La gráfica de </w:t>
      </w:r>
      <w:r w:rsidR="002E3BBB" w:rsidRPr="002E3BBB">
        <w:rPr>
          <w:rFonts w:ascii="Calibri" w:eastAsia="Times New Roman" w:hAnsi="Calibri" w:cs="Calibri"/>
          <w:color w:val="000000"/>
          <w:sz w:val="24"/>
          <w:szCs w:val="24"/>
          <w:lang w:val="es-CO" w:eastAsia="es-CO"/>
        </w:rPr>
        <w:lastRenderedPageBreak/>
        <w:t xml:space="preserve">barras que está del lado derecho indica cuál es la tasa de crecimiento de las UE entre 2015 y 2019. </w:t>
      </w:r>
    </w:p>
    <w:p w:rsidR="002E3BBB" w:rsidRPr="002E3BBB" w:rsidRDefault="00534B04" w:rsidP="002E3BBB">
      <w:pPr>
        <w:shd w:val="clear" w:color="auto" w:fill="FFFFFF"/>
        <w:spacing w:after="0" w:line="240" w:lineRule="auto"/>
        <w:textAlignment w:val="baseline"/>
        <w:rPr>
          <w:rFonts w:ascii="Calibri" w:eastAsia="Times New Roman" w:hAnsi="Calibri" w:cs="Calibri"/>
          <w:color w:val="000000"/>
          <w:sz w:val="24"/>
          <w:szCs w:val="24"/>
          <w:lang w:val="es-CO" w:eastAsia="es-CO"/>
        </w:rPr>
      </w:pPr>
      <w:r>
        <w:rPr>
          <w:rFonts w:ascii="Calibri" w:eastAsia="Times New Roman" w:hAnsi="Calibri" w:cs="Calibri"/>
          <w:noProof/>
          <w:color w:val="000000"/>
          <w:sz w:val="24"/>
          <w:szCs w:val="24"/>
          <w:lang w:val="es-CO" w:eastAsia="es-CO"/>
        </w:rPr>
        <w:drawing>
          <wp:inline distT="0" distB="0" distL="0" distR="0">
            <wp:extent cx="5612130" cy="5452110"/>
            <wp:effectExtent l="0" t="0" r="7620" b="0"/>
            <wp:docPr id="2" name="Imagen 2"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dades económicas dadas de alta y baja entre 2015 y 2019, Naciona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5452110"/>
                    </a:xfrm>
                    <a:prstGeom prst="rect">
                      <a:avLst/>
                    </a:prstGeom>
                  </pic:spPr>
                </pic:pic>
              </a:graphicData>
            </a:graphic>
          </wp:inline>
        </w:drawing>
      </w:r>
    </w:p>
    <w:p w:rsidR="00786D1E" w:rsidRDefault="00786D1E" w:rsidP="00786D1E">
      <w:pPr>
        <w:shd w:val="clear" w:color="auto" w:fill="FFFFFF"/>
        <w:spacing w:after="0" w:line="240" w:lineRule="auto"/>
        <w:jc w:val="both"/>
        <w:textAlignment w:val="baseline"/>
        <w:rPr>
          <w:rFonts w:ascii="Calibri" w:eastAsia="Times New Roman" w:hAnsi="Calibri" w:cs="Calibri"/>
          <w:color w:val="000000"/>
          <w:sz w:val="24"/>
          <w:szCs w:val="24"/>
          <w:lang w:val="es-CO" w:eastAsia="es-CO"/>
        </w:rPr>
      </w:pPr>
    </w:p>
    <w:p w:rsidR="00786D1E" w:rsidRPr="002E3BBB" w:rsidRDefault="00786D1E" w:rsidP="00786D1E">
      <w:pPr>
        <w:shd w:val="clear" w:color="auto" w:fill="FFFFFF"/>
        <w:spacing w:after="0" w:line="240" w:lineRule="auto"/>
        <w:jc w:val="both"/>
        <w:textAlignment w:val="baseline"/>
        <w:rPr>
          <w:rFonts w:ascii="Calibri" w:eastAsia="Times New Roman" w:hAnsi="Calibri" w:cs="Calibri"/>
          <w:color w:val="000000"/>
          <w:sz w:val="24"/>
          <w:szCs w:val="24"/>
          <w:lang w:val="es-CO" w:eastAsia="es-CO"/>
        </w:rPr>
      </w:pPr>
      <w:r w:rsidRPr="002E3BBB">
        <w:rPr>
          <w:rFonts w:ascii="Calibri" w:eastAsia="Times New Roman" w:hAnsi="Calibri" w:cs="Calibri"/>
          <w:color w:val="000000"/>
          <w:sz w:val="24"/>
          <w:szCs w:val="24"/>
          <w:lang w:val="es-CO" w:eastAsia="es-CO"/>
        </w:rPr>
        <w:t xml:space="preserve">La mayoría de </w:t>
      </w:r>
      <w:r>
        <w:rPr>
          <w:rFonts w:ascii="Calibri" w:eastAsia="Times New Roman" w:hAnsi="Calibri" w:cs="Calibri"/>
          <w:color w:val="000000"/>
          <w:sz w:val="24"/>
          <w:szCs w:val="24"/>
          <w:lang w:val="es-CO" w:eastAsia="es-CO"/>
        </w:rPr>
        <w:t xml:space="preserve">los </w:t>
      </w:r>
      <w:r w:rsidRPr="002E3BBB">
        <w:rPr>
          <w:rFonts w:ascii="Calibri" w:eastAsia="Times New Roman" w:hAnsi="Calibri" w:cs="Calibri"/>
          <w:color w:val="000000"/>
          <w:sz w:val="24"/>
          <w:szCs w:val="24"/>
          <w:lang w:val="es-CO" w:eastAsia="es-CO"/>
        </w:rPr>
        <w:t>sectores incrementó su número de UE, aunque también hubo algunos que se redujeron. Se aprecia que los sectores con mayor crecimiento fueron:</w:t>
      </w:r>
    </w:p>
    <w:p w:rsidR="00786D1E" w:rsidRPr="002E3BBB" w:rsidRDefault="00786D1E" w:rsidP="00786D1E">
      <w:pPr>
        <w:numPr>
          <w:ilvl w:val="0"/>
          <w:numId w:val="1"/>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val="es-CO" w:eastAsia="es-CO"/>
        </w:rPr>
      </w:pPr>
      <w:r w:rsidRPr="002E3BBB">
        <w:rPr>
          <w:rFonts w:ascii="Calibri" w:eastAsia="Times New Roman" w:hAnsi="Calibri" w:cs="Calibri"/>
          <w:color w:val="000000"/>
          <w:sz w:val="24"/>
          <w:szCs w:val="24"/>
          <w:lang w:val="es-CO" w:eastAsia="es-CO"/>
        </w:rPr>
        <w:t>Agricultura, cría y explotación de animales, aprovechamiento forestal, pesca y caza</w:t>
      </w:r>
    </w:p>
    <w:p w:rsidR="00786D1E" w:rsidRPr="002E3BBB" w:rsidRDefault="00786D1E" w:rsidP="00786D1E">
      <w:pPr>
        <w:numPr>
          <w:ilvl w:val="0"/>
          <w:numId w:val="1"/>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val="es-CO" w:eastAsia="es-CO"/>
        </w:rPr>
      </w:pPr>
      <w:r w:rsidRPr="002E3BBB">
        <w:rPr>
          <w:rFonts w:ascii="Calibri" w:eastAsia="Times New Roman" w:hAnsi="Calibri" w:cs="Calibri"/>
          <w:color w:val="000000"/>
          <w:sz w:val="24"/>
          <w:szCs w:val="24"/>
          <w:lang w:val="es-CO" w:eastAsia="es-CO"/>
        </w:rPr>
        <w:t>Generación, transmisión, distribución y comercialización de energía eléctrica, suministro de agua y de gas natural por ductos al consumidor final</w:t>
      </w:r>
    </w:p>
    <w:p w:rsidR="00786D1E" w:rsidRPr="002E3BBB" w:rsidRDefault="00786D1E" w:rsidP="00786D1E">
      <w:pPr>
        <w:numPr>
          <w:ilvl w:val="0"/>
          <w:numId w:val="1"/>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val="es-CO" w:eastAsia="es-CO"/>
        </w:rPr>
      </w:pPr>
      <w:r w:rsidRPr="002E3BBB">
        <w:rPr>
          <w:rFonts w:ascii="Calibri" w:eastAsia="Times New Roman" w:hAnsi="Calibri" w:cs="Calibri"/>
          <w:color w:val="000000"/>
          <w:sz w:val="24"/>
          <w:szCs w:val="24"/>
          <w:lang w:val="es-CO" w:eastAsia="es-CO"/>
        </w:rPr>
        <w:t>Servicios financieros y de seguros</w:t>
      </w:r>
    </w:p>
    <w:p w:rsidR="00786D1E" w:rsidRPr="002E3BBB" w:rsidRDefault="00786D1E" w:rsidP="00786D1E">
      <w:pPr>
        <w:shd w:val="clear" w:color="auto" w:fill="FFFFFF"/>
        <w:spacing w:after="0" w:line="240" w:lineRule="auto"/>
        <w:textAlignment w:val="baseline"/>
        <w:rPr>
          <w:rFonts w:ascii="Calibri" w:eastAsia="Times New Roman" w:hAnsi="Calibri" w:cs="Calibri"/>
          <w:color w:val="000000"/>
          <w:sz w:val="24"/>
          <w:szCs w:val="24"/>
          <w:lang w:val="es-CO" w:eastAsia="es-CO"/>
        </w:rPr>
      </w:pPr>
      <w:r w:rsidRPr="002E3BBB">
        <w:rPr>
          <w:rFonts w:ascii="Calibri" w:eastAsia="Times New Roman" w:hAnsi="Calibri" w:cs="Calibri"/>
          <w:color w:val="000000"/>
          <w:sz w:val="24"/>
          <w:szCs w:val="24"/>
          <w:lang w:val="es-CO" w:eastAsia="es-CO"/>
        </w:rPr>
        <w:t>Por el contrario, los que tuvieron un decrecimiento fueron:</w:t>
      </w:r>
    </w:p>
    <w:p w:rsidR="00786D1E" w:rsidRPr="002E3BBB" w:rsidRDefault="00786D1E" w:rsidP="00786D1E">
      <w:pPr>
        <w:numPr>
          <w:ilvl w:val="0"/>
          <w:numId w:val="2"/>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val="es-CO" w:eastAsia="es-CO"/>
        </w:rPr>
      </w:pPr>
      <w:r w:rsidRPr="002E3BBB">
        <w:rPr>
          <w:rFonts w:ascii="Calibri" w:eastAsia="Times New Roman" w:hAnsi="Calibri" w:cs="Calibri"/>
          <w:color w:val="000000"/>
          <w:sz w:val="24"/>
          <w:szCs w:val="24"/>
          <w:lang w:val="es-CO" w:eastAsia="es-CO"/>
        </w:rPr>
        <w:t>Servicios de apoyo a los negocios y manejo de residuos, y servicios de remediación</w:t>
      </w:r>
    </w:p>
    <w:p w:rsidR="00786D1E" w:rsidRPr="002E3BBB" w:rsidRDefault="00786D1E" w:rsidP="00786D1E">
      <w:pPr>
        <w:numPr>
          <w:ilvl w:val="0"/>
          <w:numId w:val="2"/>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val="es-CO" w:eastAsia="es-CO"/>
        </w:rPr>
      </w:pPr>
      <w:r w:rsidRPr="002E3BBB">
        <w:rPr>
          <w:rFonts w:ascii="Calibri" w:eastAsia="Times New Roman" w:hAnsi="Calibri" w:cs="Calibri"/>
          <w:color w:val="000000"/>
          <w:sz w:val="24"/>
          <w:szCs w:val="24"/>
          <w:lang w:val="es-CO" w:eastAsia="es-CO"/>
        </w:rPr>
        <w:lastRenderedPageBreak/>
        <w:t>Actividades legislativas, gubernamentales, de impartición de justicia y de organismos internacionales y extraterritoriales</w:t>
      </w:r>
    </w:p>
    <w:p w:rsidR="00786D1E" w:rsidRPr="002E3BBB" w:rsidRDefault="00786D1E" w:rsidP="00786D1E">
      <w:pPr>
        <w:numPr>
          <w:ilvl w:val="0"/>
          <w:numId w:val="2"/>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val="es-CO" w:eastAsia="es-CO"/>
        </w:rPr>
      </w:pPr>
      <w:r w:rsidRPr="002E3BBB">
        <w:rPr>
          <w:rFonts w:ascii="Calibri" w:eastAsia="Times New Roman" w:hAnsi="Calibri" w:cs="Calibri"/>
          <w:color w:val="000000"/>
          <w:sz w:val="24"/>
          <w:szCs w:val="24"/>
          <w:lang w:val="es-CO" w:eastAsia="es-CO"/>
        </w:rPr>
        <w:t>Información en medios masivos</w:t>
      </w:r>
    </w:p>
    <w:p w:rsidR="00786D1E" w:rsidRPr="002E3BBB" w:rsidRDefault="00786D1E" w:rsidP="00786D1E">
      <w:pPr>
        <w:numPr>
          <w:ilvl w:val="0"/>
          <w:numId w:val="2"/>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val="es-CO" w:eastAsia="es-CO"/>
        </w:rPr>
      </w:pPr>
      <w:r w:rsidRPr="002E3BBB">
        <w:rPr>
          <w:rFonts w:ascii="Calibri" w:eastAsia="Times New Roman" w:hAnsi="Calibri" w:cs="Calibri"/>
          <w:color w:val="000000"/>
          <w:sz w:val="24"/>
          <w:szCs w:val="24"/>
          <w:lang w:val="es-CO" w:eastAsia="es-CO"/>
        </w:rPr>
        <w:t>Minería</w:t>
      </w:r>
    </w:p>
    <w:p w:rsidR="002E3BBB" w:rsidRDefault="00534B04" w:rsidP="002E3BBB">
      <w:pPr>
        <w:shd w:val="clear" w:color="auto" w:fill="FFFFFF"/>
        <w:spacing w:after="0" w:line="240" w:lineRule="auto"/>
        <w:textAlignment w:val="baseline"/>
        <w:rPr>
          <w:rFonts w:ascii="Calibri" w:eastAsia="Times New Roman" w:hAnsi="Calibri" w:cs="Calibri"/>
          <w:color w:val="000000"/>
          <w:sz w:val="24"/>
          <w:szCs w:val="24"/>
          <w:lang w:val="es-CO" w:eastAsia="es-CO"/>
        </w:rPr>
      </w:pPr>
      <w:r>
        <w:rPr>
          <w:rFonts w:ascii="Calibri" w:eastAsia="Times New Roman" w:hAnsi="Calibri" w:cs="Calibri"/>
          <w:noProof/>
          <w:color w:val="000000"/>
          <w:sz w:val="24"/>
          <w:szCs w:val="24"/>
          <w:lang w:val="es-CO" w:eastAsia="es-CO"/>
        </w:rPr>
        <w:drawing>
          <wp:inline distT="0" distB="0" distL="0" distR="0">
            <wp:extent cx="5014158" cy="6667389"/>
            <wp:effectExtent l="0" t="0" r="0" b="635"/>
            <wp:docPr id="6" name="Imagen 6"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idades económicas dadas de alta y baja entre 2015 y 2019, sector Tota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17836" cy="6672279"/>
                    </a:xfrm>
                    <a:prstGeom prst="rect">
                      <a:avLst/>
                    </a:prstGeom>
                  </pic:spPr>
                </pic:pic>
              </a:graphicData>
            </a:graphic>
          </wp:inline>
        </w:drawing>
      </w:r>
    </w:p>
    <w:p w:rsidR="00534B04" w:rsidRDefault="00534B04" w:rsidP="00786D1E">
      <w:pPr>
        <w:shd w:val="clear" w:color="auto" w:fill="FFFFFF"/>
        <w:spacing w:after="0" w:line="240" w:lineRule="auto"/>
        <w:textAlignment w:val="baseline"/>
        <w:rPr>
          <w:rFonts w:ascii="Calibri" w:eastAsia="Times New Roman" w:hAnsi="Calibri" w:cs="Calibri"/>
          <w:color w:val="000000"/>
          <w:sz w:val="24"/>
          <w:szCs w:val="24"/>
          <w:lang w:val="es-CO" w:eastAsia="es-CO"/>
        </w:rPr>
      </w:pPr>
    </w:p>
    <w:p w:rsidR="00786D1E" w:rsidRDefault="00786D1E" w:rsidP="00663EB3">
      <w:pPr>
        <w:shd w:val="clear" w:color="auto" w:fill="FFFFFF"/>
        <w:spacing w:after="0" w:line="240" w:lineRule="auto"/>
        <w:jc w:val="both"/>
        <w:textAlignment w:val="baseline"/>
        <w:rPr>
          <w:rFonts w:ascii="Calibri" w:eastAsia="Times New Roman" w:hAnsi="Calibri" w:cs="Calibri"/>
          <w:color w:val="000000"/>
          <w:sz w:val="24"/>
          <w:szCs w:val="24"/>
          <w:lang w:val="es-CO" w:eastAsia="es-CO"/>
        </w:rPr>
      </w:pPr>
      <w:r w:rsidRPr="002E3BBB">
        <w:rPr>
          <w:rFonts w:ascii="Calibri" w:eastAsia="Times New Roman" w:hAnsi="Calibri" w:cs="Calibri"/>
          <w:color w:val="000000"/>
          <w:sz w:val="24"/>
          <w:szCs w:val="24"/>
          <w:lang w:val="es-CO" w:eastAsia="es-CO"/>
        </w:rPr>
        <w:t xml:space="preserve">En la </w:t>
      </w:r>
      <w:r>
        <w:rPr>
          <w:rFonts w:ascii="Calibri" w:eastAsia="Times New Roman" w:hAnsi="Calibri" w:cs="Calibri"/>
          <w:color w:val="000000"/>
          <w:sz w:val="24"/>
          <w:szCs w:val="24"/>
          <w:lang w:val="es-CO" w:eastAsia="es-CO"/>
        </w:rPr>
        <w:t>anterior</w:t>
      </w:r>
      <w:r w:rsidRPr="002E3BBB">
        <w:rPr>
          <w:rFonts w:ascii="Calibri" w:eastAsia="Times New Roman" w:hAnsi="Calibri" w:cs="Calibri"/>
          <w:color w:val="000000"/>
          <w:sz w:val="24"/>
          <w:szCs w:val="24"/>
          <w:lang w:val="es-CO" w:eastAsia="es-CO"/>
        </w:rPr>
        <w:t xml:space="preserve"> gráfica se muestran las mismas variables para cada entidad federativa. La buena noticia es que en todos los estados creció el total de unidades económicas. Oaxaca, </w:t>
      </w:r>
      <w:r w:rsidRPr="002E3BBB">
        <w:rPr>
          <w:rFonts w:ascii="Calibri" w:eastAsia="Times New Roman" w:hAnsi="Calibri" w:cs="Calibri"/>
          <w:color w:val="000000"/>
          <w:sz w:val="24"/>
          <w:szCs w:val="24"/>
          <w:lang w:val="es-CO" w:eastAsia="es-CO"/>
        </w:rPr>
        <w:lastRenderedPageBreak/>
        <w:t>Nayarit y Tabasco son las entidades con el mayor incremento porcentual, mientras que Ciudad de México, Tamaulipas y Jalisco las de menor variación. En Yucatán, Michoacán y Sinaloa fue donde menos negocios se dieron de baja, mientras que en Oaxaca, Nayarit y Quintana Roo</w:t>
      </w:r>
      <w:r>
        <w:rPr>
          <w:rFonts w:ascii="Calibri" w:eastAsia="Times New Roman" w:hAnsi="Calibri" w:cs="Calibri"/>
          <w:color w:val="000000"/>
          <w:sz w:val="24"/>
          <w:szCs w:val="24"/>
          <w:lang w:val="es-CO" w:eastAsia="es-CO"/>
        </w:rPr>
        <w:t xml:space="preserve"> fue</w:t>
      </w:r>
      <w:r w:rsidRPr="002E3BBB">
        <w:rPr>
          <w:rFonts w:ascii="Calibri" w:eastAsia="Times New Roman" w:hAnsi="Calibri" w:cs="Calibri"/>
          <w:color w:val="000000"/>
          <w:sz w:val="24"/>
          <w:szCs w:val="24"/>
          <w:lang w:val="es-CO" w:eastAsia="es-CO"/>
        </w:rPr>
        <w:t xml:space="preserve"> donde más se incorporaron, aunque en Quintana Roo también fue el estado con mayor proporción de bajas. </w:t>
      </w:r>
    </w:p>
    <w:p w:rsidR="00663EB3" w:rsidRDefault="00663EB3" w:rsidP="00663EB3">
      <w:pPr>
        <w:shd w:val="clear" w:color="auto" w:fill="FFFFFF"/>
        <w:spacing w:after="0" w:line="240" w:lineRule="auto"/>
        <w:jc w:val="both"/>
        <w:textAlignment w:val="baseline"/>
        <w:rPr>
          <w:rFonts w:ascii="Calibri" w:eastAsia="Times New Roman" w:hAnsi="Calibri" w:cs="Calibri"/>
          <w:color w:val="000000"/>
          <w:sz w:val="24"/>
          <w:szCs w:val="24"/>
          <w:lang w:val="es-CO" w:eastAsia="es-CO"/>
        </w:rPr>
      </w:pPr>
    </w:p>
    <w:p w:rsidR="00663EB3" w:rsidRDefault="00663EB3" w:rsidP="00663EB3">
      <w:pPr>
        <w:shd w:val="clear" w:color="auto" w:fill="FFFFFF"/>
        <w:spacing w:after="0" w:line="240" w:lineRule="auto"/>
        <w:jc w:val="both"/>
        <w:textAlignment w:val="baseline"/>
        <w:rPr>
          <w:rFonts w:ascii="Calibri" w:eastAsia="Times New Roman" w:hAnsi="Calibri" w:cs="Calibri"/>
          <w:color w:val="000000"/>
          <w:sz w:val="24"/>
          <w:szCs w:val="24"/>
          <w:lang w:val="es-CO" w:eastAsia="es-CO"/>
        </w:rPr>
      </w:pPr>
      <w:r>
        <w:rPr>
          <w:rFonts w:ascii="Calibri" w:eastAsia="Times New Roman" w:hAnsi="Calibri" w:cs="Calibri"/>
          <w:color w:val="000000"/>
          <w:sz w:val="24"/>
          <w:szCs w:val="24"/>
          <w:lang w:val="es-CO" w:eastAsia="es-CO"/>
        </w:rPr>
        <w:t>El mapa que viene a continuación muestra las altas y bajas de unidades económicas en todo el país. En azul las zonas en las que las altas fueron mayores a las bajas y en rojo las zonas en las que pasó lo contrario. En general se ve que predominan las zonas donde se abrieron más negocios que los que cerraron, aunque se observa que en algunos casos con concentraciones de áreas rojas.</w:t>
      </w:r>
    </w:p>
    <w:p w:rsidR="00663EB3" w:rsidRDefault="00663EB3" w:rsidP="00663EB3">
      <w:pPr>
        <w:shd w:val="clear" w:color="auto" w:fill="FFFFFF"/>
        <w:spacing w:after="0" w:line="240" w:lineRule="auto"/>
        <w:textAlignment w:val="baseline"/>
        <w:rPr>
          <w:rFonts w:ascii="Calibri" w:eastAsia="Times New Roman" w:hAnsi="Calibri" w:cs="Calibri"/>
          <w:color w:val="000000"/>
          <w:sz w:val="24"/>
          <w:szCs w:val="24"/>
          <w:lang w:val="es-CO" w:eastAsia="es-CO"/>
        </w:rPr>
      </w:pPr>
    </w:p>
    <w:p w:rsidR="00663EB3" w:rsidRDefault="00663EB3" w:rsidP="00663EB3">
      <w:pPr>
        <w:shd w:val="clear" w:color="auto" w:fill="FFFFFF"/>
        <w:spacing w:after="0" w:line="240" w:lineRule="auto"/>
        <w:jc w:val="both"/>
        <w:textAlignment w:val="baseline"/>
        <w:rPr>
          <w:rFonts w:ascii="Calibri" w:eastAsia="Times New Roman" w:hAnsi="Calibri" w:cs="Calibri"/>
          <w:color w:val="000000"/>
          <w:sz w:val="24"/>
          <w:szCs w:val="24"/>
          <w:lang w:val="es-CO" w:eastAsia="es-CO"/>
        </w:rPr>
      </w:pPr>
      <w:r w:rsidRPr="00663EB3">
        <w:rPr>
          <w:rFonts w:ascii="Calibri" w:eastAsia="Times New Roman" w:hAnsi="Calibri" w:cs="Calibri"/>
          <w:noProof/>
          <w:color w:val="000000"/>
          <w:sz w:val="24"/>
          <w:szCs w:val="24"/>
          <w:lang w:val="es-CO" w:eastAsia="es-CO"/>
        </w:rPr>
        <w:drawing>
          <wp:inline distT="0" distB="0" distL="0" distR="0" wp14:anchorId="6C708E7D" wp14:editId="3517385D">
            <wp:extent cx="5612130" cy="4897368"/>
            <wp:effectExtent l="0" t="0" r="7620" b="0"/>
            <wp:docPr id="1" name="Imagen 1" descr="C:\Users\lnppcide04\Dropbox (Personal)\Proyectos\denue\graficas\denue_bajas_altas_15_19_m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nppcide04\Dropbox (Personal)\Proyectos\denue\graficas\denue_bajas_altas_15_19_mex.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4348"/>
                    <a:stretch/>
                  </pic:blipFill>
                  <pic:spPr bwMode="auto">
                    <a:xfrm>
                      <a:off x="0" y="0"/>
                      <a:ext cx="5612130" cy="4897368"/>
                    </a:xfrm>
                    <a:prstGeom prst="rect">
                      <a:avLst/>
                    </a:prstGeom>
                    <a:noFill/>
                    <a:ln>
                      <a:noFill/>
                    </a:ln>
                    <a:extLst>
                      <a:ext uri="{53640926-AAD7-44D8-BBD7-CCE9431645EC}">
                        <a14:shadowObscured xmlns:a14="http://schemas.microsoft.com/office/drawing/2010/main"/>
                      </a:ext>
                    </a:extLst>
                  </pic:spPr>
                </pic:pic>
              </a:graphicData>
            </a:graphic>
          </wp:inline>
        </w:drawing>
      </w:r>
    </w:p>
    <w:p w:rsidR="00663EB3" w:rsidRPr="002E3BBB" w:rsidRDefault="00663EB3" w:rsidP="00786D1E">
      <w:pPr>
        <w:shd w:val="clear" w:color="auto" w:fill="FFFFFF"/>
        <w:spacing w:after="0" w:line="240" w:lineRule="auto"/>
        <w:textAlignment w:val="baseline"/>
        <w:rPr>
          <w:rFonts w:ascii="Calibri" w:eastAsia="Times New Roman" w:hAnsi="Calibri" w:cs="Calibri"/>
          <w:color w:val="000000"/>
          <w:sz w:val="24"/>
          <w:szCs w:val="24"/>
          <w:lang w:val="es-CO" w:eastAsia="es-CO"/>
        </w:rPr>
      </w:pPr>
    </w:p>
    <w:p w:rsidR="00786D1E" w:rsidRPr="002E3BBB" w:rsidRDefault="00786D1E" w:rsidP="002E3BBB">
      <w:pPr>
        <w:shd w:val="clear" w:color="auto" w:fill="FFFFFF"/>
        <w:spacing w:after="0" w:line="240" w:lineRule="auto"/>
        <w:textAlignment w:val="baseline"/>
        <w:rPr>
          <w:rFonts w:ascii="Calibri" w:eastAsia="Times New Roman" w:hAnsi="Calibri" w:cs="Calibri"/>
          <w:color w:val="000000"/>
          <w:sz w:val="24"/>
          <w:szCs w:val="24"/>
          <w:lang w:val="es-CO" w:eastAsia="es-CO"/>
        </w:rPr>
      </w:pPr>
    </w:p>
    <w:p w:rsidR="002E3BBB" w:rsidRPr="002E3BBB" w:rsidRDefault="002E3BBB" w:rsidP="002E3BBB">
      <w:pPr>
        <w:shd w:val="clear" w:color="auto" w:fill="FFFFFF"/>
        <w:spacing w:after="0" w:line="240" w:lineRule="auto"/>
        <w:textAlignment w:val="baseline"/>
        <w:rPr>
          <w:rFonts w:ascii="Calibri" w:eastAsia="Times New Roman" w:hAnsi="Calibri" w:cs="Calibri"/>
          <w:color w:val="000000"/>
          <w:sz w:val="24"/>
          <w:szCs w:val="24"/>
          <w:lang w:val="es-CO" w:eastAsia="es-CO"/>
        </w:rPr>
      </w:pPr>
      <w:r w:rsidRPr="002E3BBB">
        <w:rPr>
          <w:rFonts w:ascii="Calibri" w:eastAsia="Times New Roman" w:hAnsi="Calibri" w:cs="Calibri"/>
          <w:color w:val="000000"/>
          <w:sz w:val="24"/>
          <w:szCs w:val="24"/>
          <w:lang w:val="es-CO" w:eastAsia="es-CO"/>
        </w:rPr>
        <w:t>Para explorar más a detalle cómo fue la variación de UE por sectores al interior de un estado o para ver en dónde se dieron más altas y bajas de un sector específico se puede consultar la siguiente aplicación:</w:t>
      </w:r>
    </w:p>
    <w:p w:rsidR="002E3BBB" w:rsidRPr="002E3BBB" w:rsidRDefault="002E3BBB" w:rsidP="002E3BBB">
      <w:pPr>
        <w:shd w:val="clear" w:color="auto" w:fill="FFFFFF"/>
        <w:spacing w:after="0" w:line="240" w:lineRule="auto"/>
        <w:textAlignment w:val="baseline"/>
        <w:rPr>
          <w:rFonts w:ascii="Calibri" w:eastAsia="Times New Roman" w:hAnsi="Calibri" w:cs="Calibri"/>
          <w:color w:val="000000"/>
          <w:sz w:val="24"/>
          <w:szCs w:val="24"/>
          <w:lang w:val="es-CO" w:eastAsia="es-CO"/>
        </w:rPr>
      </w:pPr>
    </w:p>
    <w:p w:rsidR="002E3BBB" w:rsidRPr="002E3BBB" w:rsidRDefault="00663EB3" w:rsidP="002E3BBB">
      <w:pPr>
        <w:shd w:val="clear" w:color="auto" w:fill="FFFFFF"/>
        <w:spacing w:after="0" w:line="240" w:lineRule="auto"/>
        <w:textAlignment w:val="baseline"/>
        <w:rPr>
          <w:rFonts w:ascii="Calibri" w:eastAsia="Times New Roman" w:hAnsi="Calibri" w:cs="Calibri"/>
          <w:color w:val="000000"/>
          <w:sz w:val="24"/>
          <w:szCs w:val="24"/>
          <w:lang w:val="es-CO" w:eastAsia="es-CO"/>
        </w:rPr>
      </w:pPr>
      <w:hyperlink r:id="rId11" w:tgtFrame="_blank" w:history="1">
        <w:r w:rsidR="002E3BBB" w:rsidRPr="002E3BBB">
          <w:rPr>
            <w:rFonts w:ascii="Calibri" w:eastAsia="Times New Roman" w:hAnsi="Calibri" w:cs="Calibri"/>
            <w:color w:val="0000FF"/>
            <w:sz w:val="24"/>
            <w:szCs w:val="24"/>
            <w:u w:val="single"/>
            <w:bdr w:val="none" w:sz="0" w:space="0" w:color="auto" w:frame="1"/>
            <w:lang w:val="es-CO" w:eastAsia="es-CO"/>
          </w:rPr>
          <w:t>http://denue19.us-east-2.elasticbeanstalk.com/</w:t>
        </w:r>
      </w:hyperlink>
    </w:p>
    <w:p w:rsidR="002E3BBB" w:rsidRPr="002E3BBB" w:rsidRDefault="002E3BBB" w:rsidP="002E3BBB">
      <w:pPr>
        <w:shd w:val="clear" w:color="auto" w:fill="FFFFFF"/>
        <w:spacing w:after="0" w:line="240" w:lineRule="auto"/>
        <w:textAlignment w:val="baseline"/>
        <w:rPr>
          <w:rFonts w:ascii="Calibri" w:eastAsia="Times New Roman" w:hAnsi="Calibri" w:cs="Calibri"/>
          <w:color w:val="000000"/>
          <w:sz w:val="24"/>
          <w:szCs w:val="24"/>
          <w:lang w:val="es-CO" w:eastAsia="es-CO"/>
        </w:rPr>
      </w:pPr>
    </w:p>
    <w:p w:rsidR="002E3BBB" w:rsidRPr="002E3BBB" w:rsidRDefault="002E3BBB" w:rsidP="002E3BBB">
      <w:pPr>
        <w:shd w:val="clear" w:color="auto" w:fill="FFFFFF"/>
        <w:spacing w:after="0" w:line="240" w:lineRule="auto"/>
        <w:textAlignment w:val="baseline"/>
        <w:rPr>
          <w:rFonts w:ascii="Calibri" w:eastAsia="Times New Roman" w:hAnsi="Calibri" w:cs="Calibri"/>
          <w:color w:val="000000"/>
          <w:sz w:val="24"/>
          <w:szCs w:val="24"/>
          <w:lang w:val="es-CO" w:eastAsia="es-CO"/>
        </w:rPr>
      </w:pPr>
      <w:r w:rsidRPr="002E3BBB">
        <w:rPr>
          <w:rFonts w:ascii="Calibri" w:eastAsia="Times New Roman" w:hAnsi="Calibri" w:cs="Calibri"/>
          <w:color w:val="000000"/>
          <w:sz w:val="24"/>
          <w:szCs w:val="24"/>
          <w:lang w:val="es-CO" w:eastAsia="es-CO"/>
        </w:rPr>
        <w:t>También se pueden consultar las altas y bajas para todos los municipios del país.</w:t>
      </w:r>
    </w:p>
    <w:p w:rsidR="002E3BBB" w:rsidRPr="002E3BBB" w:rsidRDefault="002E3BBB" w:rsidP="002E3BBB">
      <w:pPr>
        <w:shd w:val="clear" w:color="auto" w:fill="FFFFFF"/>
        <w:spacing w:after="0" w:line="240" w:lineRule="auto"/>
        <w:textAlignment w:val="baseline"/>
        <w:rPr>
          <w:rFonts w:ascii="Calibri" w:eastAsia="Times New Roman" w:hAnsi="Calibri" w:cs="Calibri"/>
          <w:color w:val="000000"/>
          <w:sz w:val="24"/>
          <w:szCs w:val="24"/>
          <w:lang w:val="es-CO" w:eastAsia="es-CO"/>
        </w:rPr>
      </w:pPr>
    </w:p>
    <w:p w:rsidR="002E3BBB" w:rsidRPr="002E3BBB" w:rsidRDefault="002E3BBB" w:rsidP="002E3BBB">
      <w:pPr>
        <w:shd w:val="clear" w:color="auto" w:fill="FFFFFF"/>
        <w:spacing w:after="0" w:line="240" w:lineRule="auto"/>
        <w:textAlignment w:val="baseline"/>
        <w:rPr>
          <w:rFonts w:ascii="Calibri" w:eastAsia="Times New Roman" w:hAnsi="Calibri" w:cs="Calibri"/>
          <w:color w:val="000000"/>
          <w:sz w:val="24"/>
          <w:szCs w:val="24"/>
          <w:lang w:val="es-CO" w:eastAsia="es-CO"/>
        </w:rPr>
      </w:pPr>
    </w:p>
    <w:p w:rsidR="000F0C3C" w:rsidRDefault="00663EB3"/>
    <w:sectPr w:rsidR="000F0C3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94D13"/>
    <w:multiLevelType w:val="multilevel"/>
    <w:tmpl w:val="2BACF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8D5F91"/>
    <w:multiLevelType w:val="multilevel"/>
    <w:tmpl w:val="333CE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BBB"/>
    <w:rsid w:val="00190015"/>
    <w:rsid w:val="002E3BBB"/>
    <w:rsid w:val="003F71D0"/>
    <w:rsid w:val="004B6258"/>
    <w:rsid w:val="00533C5E"/>
    <w:rsid w:val="00534B04"/>
    <w:rsid w:val="005A1597"/>
    <w:rsid w:val="005B3425"/>
    <w:rsid w:val="00663EB3"/>
    <w:rsid w:val="006C78E7"/>
    <w:rsid w:val="00786D1E"/>
    <w:rsid w:val="00886615"/>
    <w:rsid w:val="009415E9"/>
    <w:rsid w:val="00A15ED5"/>
    <w:rsid w:val="00BE4E70"/>
    <w:rsid w:val="00FF5A3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92255"/>
  <w15:chartTrackingRefBased/>
  <w15:docId w15:val="{4D68EDF2-53AF-4149-81EB-F1A2537ED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E3BBB"/>
    <w:rPr>
      <w:color w:val="0000FF"/>
      <w:u w:val="single"/>
    </w:rPr>
  </w:style>
  <w:style w:type="paragraph" w:styleId="Textodeglobo">
    <w:name w:val="Balloon Text"/>
    <w:basedOn w:val="Normal"/>
    <w:link w:val="TextodegloboCar"/>
    <w:uiPriority w:val="99"/>
    <w:semiHidden/>
    <w:unhideWhenUsed/>
    <w:rsid w:val="002E3BB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E3BBB"/>
    <w:rPr>
      <w:rFonts w:ascii="Segoe UI" w:hAnsi="Segoe UI" w:cs="Segoe UI"/>
      <w:sz w:val="18"/>
      <w:szCs w:val="18"/>
      <w:lang w:val="es-MX"/>
    </w:rPr>
  </w:style>
  <w:style w:type="character" w:styleId="Mencinsinresolver">
    <w:name w:val="Unresolved Mention"/>
    <w:basedOn w:val="Fuentedeprrafopredeter"/>
    <w:uiPriority w:val="99"/>
    <w:semiHidden/>
    <w:unhideWhenUsed/>
    <w:rsid w:val="002E3B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5579210">
      <w:bodyDiv w:val="1"/>
      <w:marLeft w:val="0"/>
      <w:marRight w:val="0"/>
      <w:marTop w:val="0"/>
      <w:marBottom w:val="0"/>
      <w:divBdr>
        <w:top w:val="none" w:sz="0" w:space="0" w:color="auto"/>
        <w:left w:val="none" w:sz="0" w:space="0" w:color="auto"/>
        <w:bottom w:val="none" w:sz="0" w:space="0" w:color="auto"/>
        <w:right w:val="none" w:sz="0" w:space="0" w:color="auto"/>
      </w:divBdr>
      <w:divsChild>
        <w:div w:id="840386346">
          <w:marLeft w:val="0"/>
          <w:marRight w:val="0"/>
          <w:marTop w:val="0"/>
          <w:marBottom w:val="0"/>
          <w:divBdr>
            <w:top w:val="none" w:sz="0" w:space="0" w:color="auto"/>
            <w:left w:val="none" w:sz="0" w:space="0" w:color="auto"/>
            <w:bottom w:val="none" w:sz="0" w:space="0" w:color="auto"/>
            <w:right w:val="none" w:sz="0" w:space="0" w:color="auto"/>
          </w:divBdr>
        </w:div>
        <w:div w:id="912351920">
          <w:marLeft w:val="0"/>
          <w:marRight w:val="0"/>
          <w:marTop w:val="0"/>
          <w:marBottom w:val="0"/>
          <w:divBdr>
            <w:top w:val="none" w:sz="0" w:space="0" w:color="auto"/>
            <w:left w:val="none" w:sz="0" w:space="0" w:color="auto"/>
            <w:bottom w:val="none" w:sz="0" w:space="0" w:color="auto"/>
            <w:right w:val="none" w:sz="0" w:space="0" w:color="auto"/>
          </w:divBdr>
        </w:div>
        <w:div w:id="392855015">
          <w:marLeft w:val="0"/>
          <w:marRight w:val="0"/>
          <w:marTop w:val="0"/>
          <w:marBottom w:val="0"/>
          <w:divBdr>
            <w:top w:val="none" w:sz="0" w:space="0" w:color="auto"/>
            <w:left w:val="none" w:sz="0" w:space="0" w:color="auto"/>
            <w:bottom w:val="none" w:sz="0" w:space="0" w:color="auto"/>
            <w:right w:val="none" w:sz="0" w:space="0" w:color="auto"/>
          </w:divBdr>
        </w:div>
        <w:div w:id="627586975">
          <w:marLeft w:val="0"/>
          <w:marRight w:val="0"/>
          <w:marTop w:val="0"/>
          <w:marBottom w:val="0"/>
          <w:divBdr>
            <w:top w:val="none" w:sz="0" w:space="0" w:color="auto"/>
            <w:left w:val="none" w:sz="0" w:space="0" w:color="auto"/>
            <w:bottom w:val="none" w:sz="0" w:space="0" w:color="auto"/>
            <w:right w:val="none" w:sz="0" w:space="0" w:color="auto"/>
          </w:divBdr>
        </w:div>
        <w:div w:id="1457945409">
          <w:marLeft w:val="0"/>
          <w:marRight w:val="0"/>
          <w:marTop w:val="0"/>
          <w:marBottom w:val="0"/>
          <w:divBdr>
            <w:top w:val="none" w:sz="0" w:space="0" w:color="auto"/>
            <w:left w:val="none" w:sz="0" w:space="0" w:color="auto"/>
            <w:bottom w:val="none" w:sz="0" w:space="0" w:color="auto"/>
            <w:right w:val="none" w:sz="0" w:space="0" w:color="auto"/>
          </w:divBdr>
        </w:div>
        <w:div w:id="668097300">
          <w:marLeft w:val="0"/>
          <w:marRight w:val="0"/>
          <w:marTop w:val="0"/>
          <w:marBottom w:val="0"/>
          <w:divBdr>
            <w:top w:val="none" w:sz="0" w:space="0" w:color="auto"/>
            <w:left w:val="none" w:sz="0" w:space="0" w:color="auto"/>
            <w:bottom w:val="none" w:sz="0" w:space="0" w:color="auto"/>
            <w:right w:val="none" w:sz="0" w:space="0" w:color="auto"/>
          </w:divBdr>
        </w:div>
        <w:div w:id="1048380240">
          <w:marLeft w:val="0"/>
          <w:marRight w:val="0"/>
          <w:marTop w:val="0"/>
          <w:marBottom w:val="0"/>
          <w:divBdr>
            <w:top w:val="none" w:sz="0" w:space="0" w:color="auto"/>
            <w:left w:val="none" w:sz="0" w:space="0" w:color="auto"/>
            <w:bottom w:val="none" w:sz="0" w:space="0" w:color="auto"/>
            <w:right w:val="none" w:sz="0" w:space="0" w:color="auto"/>
          </w:divBdr>
        </w:div>
        <w:div w:id="420300697">
          <w:marLeft w:val="0"/>
          <w:marRight w:val="0"/>
          <w:marTop w:val="0"/>
          <w:marBottom w:val="0"/>
          <w:divBdr>
            <w:top w:val="none" w:sz="0" w:space="0" w:color="auto"/>
            <w:left w:val="none" w:sz="0" w:space="0" w:color="auto"/>
            <w:bottom w:val="none" w:sz="0" w:space="0" w:color="auto"/>
            <w:right w:val="none" w:sz="0" w:space="0" w:color="auto"/>
          </w:divBdr>
          <w:divsChild>
            <w:div w:id="2047099159">
              <w:marLeft w:val="0"/>
              <w:marRight w:val="0"/>
              <w:marTop w:val="0"/>
              <w:marBottom w:val="0"/>
              <w:divBdr>
                <w:top w:val="none" w:sz="0" w:space="0" w:color="auto"/>
                <w:left w:val="none" w:sz="0" w:space="0" w:color="auto"/>
                <w:bottom w:val="none" w:sz="0" w:space="0" w:color="auto"/>
                <w:right w:val="none" w:sz="0" w:space="0" w:color="auto"/>
              </w:divBdr>
            </w:div>
            <w:div w:id="674503305">
              <w:marLeft w:val="0"/>
              <w:marRight w:val="0"/>
              <w:marTop w:val="0"/>
              <w:marBottom w:val="0"/>
              <w:divBdr>
                <w:top w:val="none" w:sz="0" w:space="0" w:color="auto"/>
                <w:left w:val="none" w:sz="0" w:space="0" w:color="auto"/>
                <w:bottom w:val="none" w:sz="0" w:space="0" w:color="auto"/>
                <w:right w:val="none" w:sz="0" w:space="0" w:color="auto"/>
              </w:divBdr>
            </w:div>
          </w:divsChild>
        </w:div>
        <w:div w:id="1292517831">
          <w:marLeft w:val="0"/>
          <w:marRight w:val="0"/>
          <w:marTop w:val="0"/>
          <w:marBottom w:val="0"/>
          <w:divBdr>
            <w:top w:val="none" w:sz="0" w:space="0" w:color="auto"/>
            <w:left w:val="none" w:sz="0" w:space="0" w:color="auto"/>
            <w:bottom w:val="none" w:sz="0" w:space="0" w:color="auto"/>
            <w:right w:val="none" w:sz="0" w:space="0" w:color="auto"/>
          </w:divBdr>
        </w:div>
        <w:div w:id="105462660">
          <w:marLeft w:val="0"/>
          <w:marRight w:val="0"/>
          <w:marTop w:val="0"/>
          <w:marBottom w:val="0"/>
          <w:divBdr>
            <w:top w:val="none" w:sz="0" w:space="0" w:color="auto"/>
            <w:left w:val="none" w:sz="0" w:space="0" w:color="auto"/>
            <w:bottom w:val="none" w:sz="0" w:space="0" w:color="auto"/>
            <w:right w:val="none" w:sz="0" w:space="0" w:color="auto"/>
          </w:divBdr>
        </w:div>
        <w:div w:id="1671443320">
          <w:marLeft w:val="0"/>
          <w:marRight w:val="0"/>
          <w:marTop w:val="0"/>
          <w:marBottom w:val="0"/>
          <w:divBdr>
            <w:top w:val="none" w:sz="0" w:space="0" w:color="auto"/>
            <w:left w:val="none" w:sz="0" w:space="0" w:color="auto"/>
            <w:bottom w:val="none" w:sz="0" w:space="0" w:color="auto"/>
            <w:right w:val="none" w:sz="0" w:space="0" w:color="auto"/>
          </w:divBdr>
        </w:div>
        <w:div w:id="661545980">
          <w:marLeft w:val="0"/>
          <w:marRight w:val="0"/>
          <w:marTop w:val="0"/>
          <w:marBottom w:val="0"/>
          <w:divBdr>
            <w:top w:val="none" w:sz="0" w:space="0" w:color="auto"/>
            <w:left w:val="none" w:sz="0" w:space="0" w:color="auto"/>
            <w:bottom w:val="none" w:sz="0" w:space="0" w:color="auto"/>
            <w:right w:val="none" w:sz="0" w:space="0" w:color="auto"/>
          </w:divBdr>
        </w:div>
        <w:div w:id="1816481578">
          <w:marLeft w:val="0"/>
          <w:marRight w:val="0"/>
          <w:marTop w:val="0"/>
          <w:marBottom w:val="0"/>
          <w:divBdr>
            <w:top w:val="none" w:sz="0" w:space="0" w:color="auto"/>
            <w:left w:val="none" w:sz="0" w:space="0" w:color="auto"/>
            <w:bottom w:val="none" w:sz="0" w:space="0" w:color="auto"/>
            <w:right w:val="none" w:sz="0" w:space="0" w:color="auto"/>
          </w:divBdr>
        </w:div>
        <w:div w:id="633221260">
          <w:marLeft w:val="0"/>
          <w:marRight w:val="0"/>
          <w:marTop w:val="0"/>
          <w:marBottom w:val="0"/>
          <w:divBdr>
            <w:top w:val="none" w:sz="0" w:space="0" w:color="auto"/>
            <w:left w:val="none" w:sz="0" w:space="0" w:color="auto"/>
            <w:bottom w:val="none" w:sz="0" w:space="0" w:color="auto"/>
            <w:right w:val="none" w:sz="0" w:space="0" w:color="auto"/>
          </w:divBdr>
        </w:div>
        <w:div w:id="301156640">
          <w:marLeft w:val="0"/>
          <w:marRight w:val="0"/>
          <w:marTop w:val="0"/>
          <w:marBottom w:val="0"/>
          <w:divBdr>
            <w:top w:val="none" w:sz="0" w:space="0" w:color="auto"/>
            <w:left w:val="none" w:sz="0" w:space="0" w:color="auto"/>
            <w:bottom w:val="none" w:sz="0" w:space="0" w:color="auto"/>
            <w:right w:val="none" w:sz="0" w:space="0" w:color="auto"/>
          </w:divBdr>
        </w:div>
        <w:div w:id="2012171852">
          <w:marLeft w:val="0"/>
          <w:marRight w:val="0"/>
          <w:marTop w:val="0"/>
          <w:marBottom w:val="0"/>
          <w:divBdr>
            <w:top w:val="none" w:sz="0" w:space="0" w:color="auto"/>
            <w:left w:val="none" w:sz="0" w:space="0" w:color="auto"/>
            <w:bottom w:val="none" w:sz="0" w:space="0" w:color="auto"/>
            <w:right w:val="none" w:sz="0" w:space="0" w:color="auto"/>
          </w:divBdr>
        </w:div>
        <w:div w:id="1205366163">
          <w:marLeft w:val="0"/>
          <w:marRight w:val="0"/>
          <w:marTop w:val="0"/>
          <w:marBottom w:val="0"/>
          <w:divBdr>
            <w:top w:val="none" w:sz="0" w:space="0" w:color="auto"/>
            <w:left w:val="none" w:sz="0" w:space="0" w:color="auto"/>
            <w:bottom w:val="none" w:sz="0" w:space="0" w:color="auto"/>
            <w:right w:val="none" w:sz="0" w:space="0" w:color="auto"/>
          </w:divBdr>
        </w:div>
        <w:div w:id="1162429998">
          <w:marLeft w:val="0"/>
          <w:marRight w:val="0"/>
          <w:marTop w:val="0"/>
          <w:marBottom w:val="0"/>
          <w:divBdr>
            <w:top w:val="none" w:sz="0" w:space="0" w:color="auto"/>
            <w:left w:val="none" w:sz="0" w:space="0" w:color="auto"/>
            <w:bottom w:val="none" w:sz="0" w:space="0" w:color="auto"/>
            <w:right w:val="none" w:sz="0" w:space="0" w:color="auto"/>
          </w:divBdr>
        </w:div>
        <w:div w:id="1623228401">
          <w:marLeft w:val="0"/>
          <w:marRight w:val="0"/>
          <w:marTop w:val="0"/>
          <w:marBottom w:val="0"/>
          <w:divBdr>
            <w:top w:val="none" w:sz="0" w:space="0" w:color="auto"/>
            <w:left w:val="none" w:sz="0" w:space="0" w:color="auto"/>
            <w:bottom w:val="none" w:sz="0" w:space="0" w:color="auto"/>
            <w:right w:val="none" w:sz="0" w:space="0" w:color="auto"/>
          </w:divBdr>
        </w:div>
        <w:div w:id="1818301653">
          <w:marLeft w:val="0"/>
          <w:marRight w:val="0"/>
          <w:marTop w:val="0"/>
          <w:marBottom w:val="0"/>
          <w:divBdr>
            <w:top w:val="none" w:sz="0" w:space="0" w:color="auto"/>
            <w:left w:val="none" w:sz="0" w:space="0" w:color="auto"/>
            <w:bottom w:val="none" w:sz="0" w:space="0" w:color="auto"/>
            <w:right w:val="none" w:sz="0" w:space="0" w:color="auto"/>
          </w:divBdr>
        </w:div>
        <w:div w:id="749735310">
          <w:marLeft w:val="0"/>
          <w:marRight w:val="0"/>
          <w:marTop w:val="0"/>
          <w:marBottom w:val="0"/>
          <w:divBdr>
            <w:top w:val="none" w:sz="0" w:space="0" w:color="auto"/>
            <w:left w:val="none" w:sz="0" w:space="0" w:color="auto"/>
            <w:bottom w:val="none" w:sz="0" w:space="0" w:color="auto"/>
            <w:right w:val="none" w:sz="0" w:space="0" w:color="auto"/>
          </w:divBdr>
        </w:div>
        <w:div w:id="3516157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denue19.us-east-2.elasticbeanstalk.com/" TargetMode="External"/><Relationship Id="rId5" Type="http://schemas.openxmlformats.org/officeDocument/2006/relationships/hyperlink" Target="https://www.inegi.org.mx/contenidos/saladeprensa/boletines/2019/OtrTemEcon/DENUE2019.pdf"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6</Pages>
  <Words>735</Words>
  <Characters>4044</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Javier Santos Ochoa</dc:creator>
  <cp:keywords/>
  <dc:description/>
  <cp:lastModifiedBy>Juan Javier Santos Ochoa</cp:lastModifiedBy>
  <cp:revision>6</cp:revision>
  <dcterms:created xsi:type="dcterms:W3CDTF">2019-11-29T00:28:00Z</dcterms:created>
  <dcterms:modified xsi:type="dcterms:W3CDTF">2019-11-29T18:07:00Z</dcterms:modified>
</cp:coreProperties>
</file>