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C96A12"/>
          <w:sz w:val="40"/>
          <w:szCs w:val="40"/>
        </w:rPr>
        <w:t xml:space="preserve">Arquitectura de contenidos para la página web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Referencia técnica de navegación y pestañas usada para construir este sitio. No es un formulario para diligenciar.</w:t>
      </w:r>
    </w:p>
    <w:p>
      <w:pPr>
        <w:pStyle w:val="Heading2"/>
        <w:pBdr>
          <w:bottom w:val="single" w:color="E8892E" w:sz="4" w:space="2"/>
        </w:pBdr>
        <w:spacing w:after="120" w:before="260"/>
      </w:pPr>
      <w:r>
        <w:rPr>
          <w:b/>
          <w:bCs/>
          <w:color w:val="1A1A1A"/>
          <w:sz w:val="26"/>
          <w:szCs w:val="26"/>
        </w:rPr>
        <w:t xml:space="preserve">Navegación izquierda</w:t>
      </w:r>
    </w:p>
    <w:p>
      <w:pPr>
        <w:spacing w:after="160"/>
      </w:pPr>
      <w:r>
        <w:rPr>
          <w:sz w:val="21"/>
          <w:szCs w:val="21"/>
        </w:rPr>
        <w:t xml:space="preserve">Inicio, Programa, Proyectos, Talleres 1 a 12, Plantillas, Recursos y Seguimiento.</w:t>
      </w:r>
    </w:p>
    <w:p>
      <w:pPr>
        <w:pStyle w:val="Heading2"/>
        <w:pBdr>
          <w:bottom w:val="single" w:color="E8892E" w:sz="4" w:space="2"/>
        </w:pBdr>
        <w:spacing w:after="120" w:before="260"/>
      </w:pPr>
      <w:r>
        <w:rPr>
          <w:b/>
          <w:bCs/>
          <w:color w:val="1A1A1A"/>
          <w:sz w:val="26"/>
          <w:szCs w:val="26"/>
        </w:rPr>
        <w:t xml:space="preserve">Pestañas de cada taller</w:t>
      </w:r>
    </w:p>
    <w:p>
      <w:pPr>
        <w:spacing w:after="80"/>
      </w:pPr>
      <w:r>
        <w:rPr>
          <w:sz w:val="21"/>
          <w:szCs w:val="21"/>
        </w:rPr>
        <w:t xml:space="preserve">1. Inicio</w:t>
      </w:r>
    </w:p>
    <w:p>
      <w:pPr>
        <w:spacing w:after="80"/>
      </w:pPr>
      <w:r>
        <w:rPr>
          <w:sz w:val="21"/>
          <w:szCs w:val="21"/>
        </w:rPr>
        <w:t xml:space="preserve">2. Resultados de aprendizaje</w:t>
      </w:r>
    </w:p>
    <w:p>
      <w:pPr>
        <w:spacing w:after="80"/>
      </w:pPr>
      <w:r>
        <w:rPr>
          <w:sz w:val="21"/>
          <w:szCs w:val="21"/>
        </w:rPr>
        <w:t xml:space="preserve">3. Base conceptual</w:t>
      </w:r>
    </w:p>
    <w:p>
      <w:pPr>
        <w:spacing w:after="80"/>
      </w:pPr>
      <w:r>
        <w:rPr>
          <w:sz w:val="21"/>
          <w:szCs w:val="21"/>
        </w:rPr>
        <w:t xml:space="preserve">4. Preparación</w:t>
      </w:r>
    </w:p>
    <w:p>
      <w:pPr>
        <w:spacing w:after="80"/>
      </w:pPr>
      <w:r>
        <w:rPr>
          <w:sz w:val="21"/>
          <w:szCs w:val="21"/>
        </w:rPr>
        <w:t xml:space="preserve">5. Actividad</w:t>
      </w:r>
    </w:p>
    <w:p>
      <w:pPr>
        <w:spacing w:after="80"/>
      </w:pPr>
      <w:r>
        <w:rPr>
          <w:sz w:val="21"/>
          <w:szCs w:val="21"/>
        </w:rPr>
        <w:t xml:space="preserve">6. Aplicación al proyecto</w:t>
      </w:r>
    </w:p>
    <w:p>
      <w:pPr>
        <w:spacing w:after="80"/>
      </w:pPr>
      <w:r>
        <w:rPr>
          <w:sz w:val="21"/>
          <w:szCs w:val="21"/>
        </w:rPr>
        <w:t xml:space="preserve">7. Entregables</w:t>
      </w:r>
    </w:p>
    <w:p>
      <w:pPr>
        <w:spacing w:after="80"/>
      </w:pPr>
      <w:r>
        <w:rPr>
          <w:sz w:val="21"/>
          <w:szCs w:val="21"/>
        </w:rPr>
        <w:t xml:space="preserve">8. Lista de chequeo</w:t>
      </w:r>
    </w:p>
    <w:p>
      <w:pPr>
        <w:spacing w:after="80"/>
      </w:pPr>
      <w:r>
        <w:rPr>
          <w:sz w:val="21"/>
          <w:szCs w:val="21"/>
        </w:rPr>
        <w:t xml:space="preserve">9. Retroalimentación</w:t>
      </w:r>
    </w:p>
    <w:p>
      <w:pPr>
        <w:spacing w:after="80"/>
      </w:pPr>
      <w:r>
        <w:rPr>
          <w:sz w:val="21"/>
          <w:szCs w:val="21"/>
        </w:rPr>
        <w:t xml:space="preserve">10. Recursos</w:t>
      </w:r>
    </w:p>
    <w:p>
      <w:pPr>
        <w:pStyle w:val="Heading2"/>
        <w:pBdr>
          <w:bottom w:val="single" w:color="E8892E" w:sz="4" w:space="2"/>
        </w:pBdr>
        <w:spacing w:after="120" w:before="260"/>
      </w:pPr>
      <w:r>
        <w:rPr>
          <w:b/>
          <w:bCs/>
          <w:color w:val="1A1A1A"/>
          <w:sz w:val="26"/>
          <w:szCs w:val="26"/>
        </w:rPr>
        <w:t xml:space="preserve">Convención de contenido</w:t>
      </w:r>
    </w:p>
    <w:p>
      <w:pPr>
        <w:spacing w:after="160"/>
      </w:pPr>
      <w:r>
        <w:rPr>
          <w:sz w:val="21"/>
          <w:szCs w:val="21"/>
        </w:rPr>
        <w:t xml:space="preserve">Cada página debe mostrar número y título, tiempo estimado, prerrequisitos, instrucciones numeradas, archivos descargables, criterio de avance y fecha de actualización. Los enlaces externos deben revisarse periódicamente. No se alojarán datos de investigación sensibles en GitHub Pages.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Plantilla editable · Talleres del Semillero Singularidad —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723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62865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892E" w:sz="6" w:space="4"/>
      </w:pBdr>
      <w:spacing w:before="60"/>
    </w:pPr>
    <w:r>
      <w:rPr>
        <w:color w:val="595959"/>
        <w:sz w:val="16"/>
        <w:szCs w:val="16"/>
      </w:rPr>
      <w:t xml:space="preserve">Semillero de Investigación Singularidad · FUCS</w:t>
    </w:r>
    <w:r>
      <w:rPr>
        <w:i/>
        <w:iCs/>
        <w:color w:val="595959"/>
        <w:sz w:val="16"/>
        <w:szCs w:val="16"/>
      </w:rPr>
      <w:t xml:space="preserve">  —  Referencia general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d1799c35ad0984d99389e966d6815fdde1a88c.png"/><Relationship Id="rId1" Type="http://schemas.openxmlformats.org/officeDocument/2006/relationships/image" Target="media/3c5a19fa3b9294cbbe8d8d5c50bfad1cfc5dab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2026-09-14T21:32:51.465Z</dcterms:created>
  <dcterms:modified xsi:type="dcterms:W3CDTF">2026-09-14T21:32:51.465Z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