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/>
      </w:pPr>
      <w:r>
        <w:rPr>
          <w:b/>
          <w:bCs/>
          <w:color w:val="C96A12"/>
          <w:sz w:val="40"/>
          <w:szCs w:val="40"/>
        </w:rPr>
        <w:t xml:space="preserve">Lista de chequeo del protocolo</w:t>
      </w:r>
    </w:p>
    <w:p>
      <w:pPr>
        <w:spacing w:after="200"/>
      </w:pPr>
      <w:r>
        <w:rPr>
          <w:i/>
          <w:iCs/>
          <w:color w:val="595959"/>
          <w:sz w:val="21"/>
          <w:szCs w:val="21"/>
        </w:rPr>
        <w:t xml:space="preserve">Verifica que el protocolo tenga título, pregunta, diseño, variables, análisis, ética, papel de la IA y cronograma completos.</w:t>
      </w:r>
    </w:p>
    <w:p>
      <w:pPr>
        <w:spacing w:after="100"/>
        <w:ind w:left="2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Título y versión con fecha.</w:t>
      </w:r>
    </w:p>
    <w:p>
      <w:pPr>
        <w:spacing w:after="100"/>
        <w:ind w:left="2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Problema, brecha y justificación sustentados.</w:t>
      </w:r>
    </w:p>
    <w:p>
      <w:pPr>
        <w:spacing w:after="100"/>
        <w:ind w:left="2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Pregunta, objetivo principal y desenlace alineados.</w:t>
      </w:r>
    </w:p>
    <w:p>
      <w:pPr>
        <w:spacing w:after="100"/>
        <w:ind w:left="2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Diseño, población, muestra y unidades definidos.</w:t>
      </w:r>
    </w:p>
    <w:p>
      <w:pPr>
        <w:spacing w:after="100"/>
        <w:ind w:left="2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Variables, fuentes, momentos y calidad especificados.</w:t>
      </w:r>
    </w:p>
    <w:p>
      <w:pPr>
        <w:spacing w:after="100"/>
        <w:ind w:left="2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Plan de análisis por objetivo.</w:t>
      </w:r>
    </w:p>
    <w:p>
      <w:pPr>
        <w:spacing w:after="100"/>
        <w:ind w:left="2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Riesgos de sesgo y controles.</w:t>
      </w:r>
    </w:p>
    <w:p>
      <w:pPr>
        <w:spacing w:after="100"/>
        <w:ind w:left="2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Ética, privacidad y gobernanza de datos.</w:t>
      </w:r>
    </w:p>
    <w:p>
      <w:pPr>
        <w:spacing w:after="100"/>
        <w:ind w:left="2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Papel de la IA, supervisión humana y trazabilidad.</w:t>
      </w:r>
    </w:p>
    <w:p>
      <w:pPr>
        <w:spacing w:after="100"/>
        <w:ind w:left="2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Cronograma, responsables y recursos.</w:t>
      </w:r>
    </w:p>
    <w:p>
      <w:pPr>
        <w:spacing w:after="100"/>
        <w:ind w:left="2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Guía de protocolo pertinente completada.</w:t>
      </w:r>
    </w:p>
    <w:p>
      <w:pPr>
        <w:spacing w:after="100"/>
        <w:ind w:left="2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Registro de cambios y criterios para desviaciones.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Plantilla editable · Talleres del Semillero Singularidad — Página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drawing>
        <wp:inline distT="0" distB="0" distL="0" distR="0">
          <wp:extent cx="723900" cy="3429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23900" cy="3429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</w:t>
    </w:r>
    <w:r>
      <w:drawing>
        <wp:inline distT="0" distB="0" distL="0" distR="0">
          <wp:extent cx="628650" cy="2667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1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8650" cy="2667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Bdr>
        <w:bottom w:val="single" w:color="E8892E" w:sz="6" w:space="4"/>
      </w:pBdr>
      <w:spacing w:before="60"/>
    </w:pPr>
    <w:r>
      <w:rPr>
        <w:color w:val="595959"/>
        <w:sz w:val="16"/>
        <w:szCs w:val="16"/>
      </w:rPr>
      <w:t xml:space="preserve">Semillero de Investigación Singularidad · FUCS</w:t>
    </w:r>
    <w:r>
      <w:rPr>
        <w:i/>
        <w:iCs/>
        <w:color w:val="595959"/>
        <w:sz w:val="16"/>
        <w:szCs w:val="16"/>
      </w:rPr>
      <w:t xml:space="preserve">  —  Taller 10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6cd1799c35ad0984d99389e966d6815fdde1a88c.png"/><Relationship Id="rId1" Type="http://schemas.openxmlformats.org/officeDocument/2006/relationships/image" Target="media/3c5a19fa3b9294cbbe8d8d5c50bfad1cfc5dab36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2026-09-14T21:32:51.074Z</dcterms:created>
  <dcterms:modified xsi:type="dcterms:W3CDTF">2026-09-14T21:32:51.074Z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