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b/>
          <w:bCs/>
          <w:color w:val="C96A12"/>
          <w:sz w:val="40"/>
          <w:szCs w:val="40"/>
        </w:rPr>
        <w:t xml:space="preserve">Plan de gestión de datos</w:t>
      </w:r>
    </w:p>
    <w:p>
      <w:pPr>
        <w:pStyle w:val="Heading2"/>
        <w:pBdr>
          <w:bottom w:val="single" w:color="E8892E" w:sz="4" w:space="2"/>
        </w:pBdr>
        <w:spacing w:after="120" w:before="260"/>
      </w:pPr>
      <w:r>
        <w:rPr>
          <w:b/>
          <w:bCs/>
          <w:color w:val="1A1A1A"/>
          <w:sz w:val="26"/>
          <w:szCs w:val="26"/>
        </w:rPr>
        <w:t xml:space="preserve">Inventario</w:t>
      </w:r>
    </w:p>
    <w:tbl>
      <w:tblPr>
        <w:tblW w:type="dxa" w:w="935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750"/>
        <w:gridCol w:w="800"/>
        <w:gridCol w:w="1210"/>
        <w:gridCol w:w="1410"/>
        <w:gridCol w:w="1125"/>
        <w:gridCol w:w="1275"/>
        <w:gridCol w:w="700"/>
        <w:gridCol w:w="955"/>
        <w:gridCol w:w="1125"/>
      </w:tblGrid>
      <w:tr>
        <w:trPr>
          <w:tblHeader/>
        </w:trPr>
        <w:tc>
          <w:tcPr>
            <w:tcW w:type="dxa" w:w="75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Fuente</w:t>
            </w:r>
          </w:p>
        </w:tc>
        <w:tc>
          <w:tcPr>
            <w:tcW w:type="dxa" w:w="80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 de dato</w:t>
            </w:r>
          </w:p>
        </w:tc>
        <w:tc>
          <w:tcPr>
            <w:tcW w:type="dxa" w:w="121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Sensibilidad</w:t>
            </w:r>
          </w:p>
        </w:tc>
        <w:tc>
          <w:tcPr>
            <w:tcW w:type="dxa" w:w="141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Base de autorización</w:t>
            </w:r>
          </w:p>
        </w:tc>
        <w:tc>
          <w:tcPr>
            <w:tcW w:type="dxa" w:w="1125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  <w:tc>
          <w:tcPr>
            <w:tcW w:type="dxa" w:w="1275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Ubicación autorizada</w:t>
            </w:r>
          </w:p>
        </w:tc>
        <w:tc>
          <w:tcPr>
            <w:tcW w:type="dxa" w:w="70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Acceso</w:t>
            </w:r>
          </w:p>
        </w:tc>
        <w:tc>
          <w:tcPr>
            <w:tcW w:type="dxa" w:w="955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Retención</w:t>
            </w:r>
          </w:p>
        </w:tc>
        <w:tc>
          <w:tcPr>
            <w:tcW w:type="dxa" w:w="1125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Eliminación</w:t>
            </w:r>
          </w:p>
        </w:tc>
      </w:tr>
      <w:tr>
        <w:tc>
          <w:tcPr>
            <w:tcW w:type="dxa" w:w="7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1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1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2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7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2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1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1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2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7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2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1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1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2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7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2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1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1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2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7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2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1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1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2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7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2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1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1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2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7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2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E8892E" w:sz="4" w:space="2"/>
        </w:pBdr>
        <w:spacing w:after="120" w:before="260"/>
      </w:pPr>
      <w:r>
        <w:rPr>
          <w:b/>
          <w:bCs/>
          <w:color w:val="1A1A1A"/>
          <w:sz w:val="26"/>
          <w:szCs w:val="26"/>
        </w:rPr>
        <w:t xml:space="preserve">Flujo y controles</w:t>
      </w:r>
    </w:p>
    <w:p>
      <w:pPr>
        <w:spacing w:after="160"/>
      </w:pPr>
      <w:r>
        <w:rPr>
          <w:sz w:val="21"/>
          <w:szCs w:val="21"/>
        </w:rPr>
        <w:t xml:space="preserve">Describa captura, transferencia, seudonimización o anonimización, validación, respaldo, versiones, análisis, publicación y cierre.</w:t>
      </w:r>
    </w:p>
    <w:p>
      <w:pPr>
        <w:pBdr>
          <w:bottom w:val="single" w:color="BFBFBF" w:sz="2"/>
        </w:pBdr>
        <w:spacing w:after="200"/>
      </w:pPr>
      <w:r>
        <w:t xml:space="preserve"> </w:t>
      </w:r>
    </w:p>
    <w:p>
      <w:pPr>
        <w:pBdr>
          <w:bottom w:val="single" w:color="BFBFBF" w:sz="2"/>
        </w:pBdr>
        <w:spacing w:after="200"/>
      </w:pPr>
      <w:r>
        <w:t xml:space="preserve"> </w:t>
      </w:r>
    </w:p>
    <w:p>
      <w:pPr>
        <w:pBdr>
          <w:bottom w:val="single" w:color="BFBFBF" w:sz="2"/>
        </w:pBdr>
        <w:spacing w:after="200"/>
      </w:pPr>
      <w:r>
        <w:t xml:space="preserve"> </w:t>
      </w:r>
    </w:p>
    <w:p>
      <w:pPr>
        <w:pBdr>
          <w:bottom w:val="single" w:color="BFBFBF" w:sz="2"/>
        </w:pBdr>
        <w:spacing w:after="200"/>
      </w:pPr>
      <w:r>
        <w:t xml:space="preserve"> </w:t>
      </w:r>
    </w:p>
    <w:p>
      <w:pPr>
        <w:pBdr>
          <w:bottom w:val="single" w:color="BFBFBF" w:sz="2"/>
        </w:pBdr>
        <w:spacing w:after="200"/>
      </w:pPr>
      <w:r>
        <w:t xml:space="preserve"> </w:t>
      </w:r>
    </w:p>
    <w:p>
      <w:pPr>
        <w:pBdr>
          <w:bottom w:val="single" w:color="BFBFBF" w:sz="2"/>
        </w:pBdr>
        <w:spacing w:after="200"/>
      </w:pPr>
      <w: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Plantilla editable · Talleres del Semillero Singularidad —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7239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9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drawing>
        <wp:inline distT="0" distB="0" distL="0" distR="0">
          <wp:extent cx="628650" cy="2667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E8892E" w:sz="6" w:space="4"/>
      </w:pBdr>
      <w:spacing w:before="60"/>
    </w:pPr>
    <w:r>
      <w:rPr>
        <w:color w:val="595959"/>
        <w:sz w:val="16"/>
        <w:szCs w:val="16"/>
      </w:rPr>
      <w:t xml:space="preserve">Semillero de Investigación Singularidad · FUCS</w:t>
    </w:r>
    <w:r>
      <w:rPr>
        <w:i/>
        <w:iCs/>
        <w:color w:val="595959"/>
        <w:sz w:val="16"/>
        <w:szCs w:val="16"/>
      </w:rPr>
      <w:t xml:space="preserve">  —  Taller 7 · Taller 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cd1799c35ad0984d99389e966d6815fdde1a88c.png"/><Relationship Id="rId1" Type="http://schemas.openxmlformats.org/officeDocument/2006/relationships/image" Target="media/3c5a19fa3b9294cbbe8d8d5c50bfad1cfc5dab3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2026-09-14T21:32:50.930Z</dcterms:created>
  <dcterms:modified xsi:type="dcterms:W3CDTF">2026-09-14T21:32:50.930Z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