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9" w:lineRule="auto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课程项目说明书</w:t>
      </w:r>
    </w:p>
    <w:p>
      <w:pPr>
        <w:spacing w:before="0" w:after="240" w:line="269" w:lineRule="auto"/>
        <w:jc w:val="center"/>
      </w:pPr>
      <w:r>
        <w:rPr>
          <w:rFonts w:ascii="Microsoft YaHei" w:hAnsi="Microsoft YaHei" w:eastAsia="Microsoft YaHei" w:cs="Microsoft YaHei"/>
          <w:b/>
          <w:i w:val="0"/>
          <w:color w:val="000000"/>
          <w:sz w:val="36"/>
        </w:rPr>
        <w:t>Self Coding Agent：面向本地代码仓库的自编码智能体实验平台</w:t>
      </w:r>
    </w:p>
    <w:p>
      <w:pPr>
        <w:spacing w:before="0" w:after="360" w:line="269" w:lineRule="auto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55555"/>
          <w:sz w:val="25"/>
        </w:rPr>
        <w:t>项目说明书（摘要版）</w:t>
      </w:r>
    </w:p>
    <w:tbl>
      <w:tblPr>
        <w:tblW w:type="dxa" w:w="963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267"/>
        <w:gridCol w:w="7370"/>
      </w:tblGrid>
      <w:tr>
        <w:tc>
          <w:tcPr>
            <w:tcW w:type="dxa" w:w="2267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课程名称</w:t>
            </w:r>
          </w:p>
        </w:tc>
        <w:tc>
          <w:tcPr>
            <w:tcW w:type="dxa" w:w="737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________________________</w:t>
            </w:r>
          </w:p>
        </w:tc>
      </w:tr>
      <w:tr>
        <w:tc>
          <w:tcPr>
            <w:tcW w:type="dxa" w:w="2267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学生姓名 / 学号</w:t>
            </w:r>
          </w:p>
        </w:tc>
        <w:tc>
          <w:tcPr>
            <w:tcW w:type="dxa" w:w="737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________________________</w:t>
            </w:r>
          </w:p>
        </w:tc>
      </w:tr>
      <w:tr>
        <w:tc>
          <w:tcPr>
            <w:tcW w:type="dxa" w:w="2267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指导教师</w:t>
            </w:r>
          </w:p>
        </w:tc>
        <w:tc>
          <w:tcPr>
            <w:tcW w:type="dxa" w:w="737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________________________</w:t>
            </w:r>
          </w:p>
        </w:tc>
      </w:tr>
      <w:tr>
        <w:tc>
          <w:tcPr>
            <w:tcW w:type="dxa" w:w="2267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项目周期</w:t>
            </w:r>
          </w:p>
        </w:tc>
        <w:tc>
          <w:tcPr>
            <w:tcW w:type="dxa" w:w="737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4 周 MVP，后续持续迭代</w:t>
            </w:r>
          </w:p>
        </w:tc>
      </w:tr>
      <w:tr>
        <w:tc>
          <w:tcPr>
            <w:tcW w:type="dxa" w:w="2267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20"/>
              </w:rPr>
              <w:t>编制日期</w:t>
            </w:r>
          </w:p>
        </w:tc>
        <w:tc>
          <w:tcPr>
            <w:tcW w:type="dxa" w:w="737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20"/>
              </w:rPr>
              <w:t>2026 年 7 月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160" w:after="14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摘要</w:t>
      </w:r>
    </w:p>
    <w:p>
      <w:pPr>
        <w:spacing w:before="0" w:after="100" w:line="269" w:lineRule="auto"/>
      </w:pP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本项目拟设计并实现一个面向本地代码仓库的 self-coding-agent 实验平台，用于学习和研究 coding agent 的最小闭环。系统不追求完整 IDE 形态，而是把模型决策、上下文召回、工具执行、事实反思、任务验证、运行追踪和策略评测拆分为可观察、可复现、可比较的模块。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项目成果包括命令行运行入口、显式状态机 Agent Loop、文件级上下文构建、运行时记忆与长期记忆、受控工具层、结构化验证、JSONL Trace、Markdown 报告以及批量评测与策略对比能力。通过该平台，可以对不同上下文策略、记忆策略和反思策略进行实验，为后续智能编程系统优化提供数据依据。</w:t>
      </w:r>
    </w:p>
    <w:p>
      <w:pPr>
        <w:spacing w:before="0" w:after="0" w:line="269" w:lineRule="auto"/>
      </w:pPr>
      <w:r>
        <w:rPr>
          <w:rFonts w:ascii="Microsoft YaHei" w:hAnsi="Microsoft YaHei" w:eastAsia="Microsoft YaHei" w:cs="Microsoft YaHei"/>
          <w:b/>
          <w:i w:val="0"/>
          <w:color w:val="1F4D78"/>
          <w:sz w:val="20"/>
        </w:rPr>
        <w:t>关键词：Coding Agent；本地代码仓库；Agent Loop；上下文管理；结构化 Trace；自动化评测</w:t>
      </w:r>
    </w:p>
    <w:p>
      <w:r>
        <w:br w:type="page"/>
      </w:r>
    </w:p>
    <w:p>
      <w:pPr>
        <w:pStyle w:val="Heading1"/>
        <w:spacing w:before="160" w:after="14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一、项目概述</w:t>
      </w: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1.1 项目背景</w:t>
      </w:r>
    </w:p>
    <w:p>
      <w:pPr>
        <w:spacing w:before="0" w:after="100" w:line="269" w:lineRule="auto"/>
      </w:pP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随着大语言模型逐渐进入软件开发流程，智能体不仅需要生成代码，还需要理解仓库结构、调用工具、验证结果并记录过程。对于课程项目而言，直接实现一个完整 IDE 插件成本较高，因此本项目选择构建一个可运行、可评测、可扩展的本地 harness，重点验证智能体开发链路中的关键机制。</w:t>
      </w: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1.2 建设目标</w:t>
      </w:r>
    </w:p>
    <w:p>
      <w:pPr>
        <w:pStyle w:val="ListBullet"/>
        <w:spacing w:before="0" w:after="60" w:line="264" w:lineRule="auto"/>
        <w:ind w:left="329" w:hanging="142"/>
      </w:pPr>
      <w:r>
        <w:rPr>
          <w:rFonts w:ascii="Microsoft YaHei" w:hAnsi="Microsoft YaHei" w:eastAsia="Microsoft YaHei" w:cs="Microsoft YaHei"/>
          <w:sz w:val="20"/>
        </w:rPr>
        <w:t>实现一个可从命令行启动的本地 coding agent 执行框架。</w:t>
      </w:r>
    </w:p>
    <w:p>
      <w:pPr>
        <w:pStyle w:val="ListBullet"/>
        <w:spacing w:before="0" w:after="60" w:line="264" w:lineRule="auto"/>
        <w:ind w:left="329" w:hanging="142"/>
      </w:pPr>
      <w:r>
        <w:rPr>
          <w:rFonts w:ascii="Microsoft YaHei" w:hAnsi="Microsoft YaHei" w:eastAsia="Microsoft YaHei" w:cs="Microsoft YaHei"/>
          <w:sz w:val="20"/>
        </w:rPr>
        <w:t>用显式状态机管理 ingest、analyze、plan、act、reflect、verify、finalize 等阶段。</w:t>
      </w:r>
    </w:p>
    <w:p>
      <w:pPr>
        <w:pStyle w:val="ListBullet"/>
        <w:spacing w:before="0" w:after="60" w:line="264" w:lineRule="auto"/>
        <w:ind w:left="329" w:hanging="142"/>
      </w:pPr>
      <w:r>
        <w:rPr>
          <w:rFonts w:ascii="Microsoft YaHei" w:hAnsi="Microsoft YaHei" w:eastAsia="Microsoft YaHei" w:cs="Microsoft YaHei"/>
          <w:sz w:val="20"/>
        </w:rPr>
        <w:t>提供文件搜索、读取、补丁修改、命令执行、Git diff 等受控工具。</w:t>
      </w:r>
    </w:p>
    <w:p>
      <w:pPr>
        <w:pStyle w:val="ListBullet"/>
        <w:spacing w:before="0" w:after="60" w:line="264" w:lineRule="auto"/>
        <w:ind w:left="329" w:hanging="142"/>
      </w:pPr>
      <w:r>
        <w:rPr>
          <w:rFonts w:ascii="Microsoft YaHei" w:hAnsi="Microsoft YaHei" w:eastAsia="Microsoft YaHei" w:cs="Microsoft YaHei"/>
          <w:sz w:val="20"/>
        </w:rPr>
        <w:t>输出 trace、report、summary 等可审计产物，支持实验复现和策略对比。</w:t>
      </w: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1.3 范围边界</w:t>
      </w:r>
    </w:p>
    <w:tbl>
      <w:tblPr>
        <w:tblW w:type="dxa" w:w="963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14"/>
        <w:gridCol w:w="7823"/>
      </w:tblGrid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范围内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本地仓库 CLI、单 Agent Loop、模型适配、工具执行、上下文召回、记忆、验证、评测、报告。</w:t>
            </w:r>
          </w:p>
        </w:tc>
      </w:tr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范围外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Web UI、IDE 插件、多 Agent 协作、远程沙箱、GitHub PR 自动化、大型公开 benchmark。</w:t>
            </w:r>
          </w:p>
        </w:tc>
      </w:tr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目标用户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学习 coding agent 架构的学生、需要做策略实验的开发者、课程项目评审者。</w:t>
            </w:r>
          </w:p>
        </w:tc>
      </w:tr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成功定义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9"/>
              </w:rPr>
              <w:t>系统能完成可验证的小型代码任务，并留下可追踪、可复现、可比较的运行证据。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  <w:spacing w:before="160" w:after="14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二、系统架构</w:t>
      </w:r>
    </w:p>
    <w:p>
      <w:pPr>
        <w:spacing w:before="0" w:after="100" w:line="269" w:lineRule="auto"/>
      </w:pP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系统采用分层式架构：CLI 和 Eval Runner 负责入口；Orchestrator 负责一次运行的生命周期；Agent Loop 负责状态迁移；Context、Memory、Model、Tool、Verifier 等模块分别承担策略和执行职责；Trace Writer 与 Reporter 负责证据沉淀。</w:t>
      </w: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2.1 总体架构图</w:t>
      </w:r>
    </w:p>
    <w:tbl>
      <w:tblPr>
        <w:tblW w:type="dxa" w:w="963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637"/>
      </w:tblGrid>
      <w:tr>
        <w:tc>
          <w:tcPr>
            <w:tcW w:type="dxa" w:w="9637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color w:val="1F2937"/>
                <w:sz w:val="18"/>
              </w:rPr>
              <w:t>CLI / Eval Runner</w:t>
              <w:br/>
              <w:t xml:space="preserve">        |</w:t>
              <w:br/>
              <w:t>Config Loader  ---&gt;  Orchestrator</w:t>
              <w:br/>
              <w:t xml:space="preserve">        |                 |</w:t>
              <w:br/>
              <w:t xml:space="preserve">        |          Agent Loop</w:t>
              <w:br/>
              <w:t xml:space="preserve">        |   ingest -&gt; analyze -&gt; plan -&gt; act -&gt; reflect -&gt; verify -&gt; finalize</w:t>
              <w:br/>
              <w:t xml:space="preserve">        |                 |</w:t>
              <w:br/>
              <w:t xml:space="preserve">        +---- Context Builder | Memory Manager | Model Adapter</w:t>
              <w:br/>
              <w:t xml:space="preserve">              Tool Registry | Verifier | Trace Writer | Reporter</w:t>
              <w:br/>
              <w:t xml:space="preserve">                              |</w:t>
              <w:br/>
              <w:t xml:space="preserve">                  runs/: trace.jsonl, report.md, summary.json</w:t>
            </w:r>
          </w:p>
        </w:tc>
      </w:tr>
    </w:tbl>
    <w:p>
      <w:pPr>
        <w:spacing w:before="0" w:after="100" w:line="240" w:lineRule="auto"/>
      </w:pP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2.2 架构原则</w:t>
      </w:r>
    </w:p>
    <w:tbl>
      <w:tblPr>
        <w:tblW w:type="dxa" w:w="96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040"/>
        <w:gridCol w:w="7596"/>
      </w:tblGrid>
      <w:tr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原则</w:t>
            </w:r>
          </w:p>
        </w:tc>
        <w:tc>
          <w:tcPr>
            <w:tcW w:type="dxa" w:w="75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04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最小闭环</w:t>
            </w:r>
          </w:p>
        </w:tc>
        <w:tc>
          <w:tcPr>
            <w:tcW w:type="dxa" w:w="7596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优先完成可运行的本地任务链路，再逐步扩展复杂能力。</w:t>
            </w:r>
          </w:p>
        </w:tc>
      </w:tr>
      <w:tr>
        <w:tc>
          <w:tcPr>
            <w:tcW w:type="dxa" w:w="204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结构化边界</w:t>
            </w:r>
          </w:p>
        </w:tc>
        <w:tc>
          <w:tcPr>
            <w:tcW w:type="dxa" w:w="7596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跨模块传递 RunConfig、TaskSpec、ModelDecision、ToolResult、VerifyResult 等结构化对象。</w:t>
            </w:r>
          </w:p>
        </w:tc>
      </w:tr>
      <w:tr>
        <w:tc>
          <w:tcPr>
            <w:tcW w:type="dxa" w:w="204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可追踪</w:t>
            </w:r>
          </w:p>
        </w:tc>
        <w:tc>
          <w:tcPr>
            <w:tcW w:type="dxa" w:w="7596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关键状态迁移、模型响应、工具调用、验证结果均写入 JSONL Trace。</w:t>
            </w:r>
          </w:p>
        </w:tc>
      </w:tr>
      <w:tr>
        <w:tc>
          <w:tcPr>
            <w:tcW w:type="dxa" w:w="204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可评测</w:t>
            </w:r>
          </w:p>
        </w:tc>
        <w:tc>
          <w:tcPr>
            <w:tcW w:type="dxa" w:w="7596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用 eval task、summary 和 comparison delta 衡量策略效果。</w:t>
            </w:r>
          </w:p>
        </w:tc>
      </w:tr>
      <w:tr>
        <w:tc>
          <w:tcPr>
            <w:tcW w:type="dxa" w:w="2040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可替换</w:t>
            </w:r>
          </w:p>
        </w:tc>
        <w:tc>
          <w:tcPr>
            <w:tcW w:type="dxa" w:w="7596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模型、上下文、记忆和反思策略保持配置化，便于后续实验。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  <w:spacing w:before="160" w:after="14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三、功能模块</w:t>
      </w:r>
    </w:p>
    <w:p>
      <w:pPr>
        <w:spacing w:before="0" w:after="100" w:line="269" w:lineRule="auto"/>
      </w:pP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项目功能围绕“任务输入、模型决策、工具执行、验证反馈、实验评测”展开。模块之间通过清晰的数据结构连接，避免把业务逻辑混入日志或自由文本。</w:t>
      </w:r>
    </w:p>
    <w:tbl>
      <w:tblPr>
        <w:tblW w:type="dxa" w:w="963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57"/>
        <w:gridCol w:w="5329"/>
        <w:gridCol w:w="2551"/>
      </w:tblGrid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53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主要职责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关键产物</w:t>
            </w:r>
          </w:p>
        </w:tc>
      </w:tr>
      <w:tr>
        <w:tc>
          <w:tcPr>
            <w:tcW w:type="dxa" w:w="175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CLI</w:t>
            </w:r>
          </w:p>
        </w:tc>
        <w:tc>
          <w:tcPr>
            <w:tcW w:type="dxa" w:w="5329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接收任务、仓库路径、配置和运行模式，启动单任务或批量评测。</w:t>
            </w:r>
          </w:p>
        </w:tc>
        <w:tc>
          <w:tcPr>
            <w:tcW w:type="dxa" w:w="255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命令参数、运行目录</w:t>
            </w:r>
          </w:p>
        </w:tc>
      </w:tr>
      <w:tr>
        <w:tc>
          <w:tcPr>
            <w:tcW w:type="dxa" w:w="175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Config Loader</w:t>
            </w:r>
          </w:p>
        </w:tc>
        <w:tc>
          <w:tcPr>
            <w:tcW w:type="dxa" w:w="5329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加载模型、运行预算、上下文、反思和记忆策略。</w:t>
            </w:r>
          </w:p>
        </w:tc>
        <w:tc>
          <w:tcPr>
            <w:tcW w:type="dxa" w:w="255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config_snapshot.json</w:t>
            </w:r>
          </w:p>
        </w:tc>
      </w:tr>
      <w:tr>
        <w:tc>
          <w:tcPr>
            <w:tcW w:type="dxa" w:w="175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Orchestrator</w:t>
            </w:r>
          </w:p>
        </w:tc>
        <w:tc>
          <w:tcPr>
            <w:tcW w:type="dxa" w:w="5329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协调一次 run 的生命周期、预算控制和最终收尾。</w:t>
            </w:r>
          </w:p>
        </w:tc>
        <w:tc>
          <w:tcPr>
            <w:tcW w:type="dxa" w:w="255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RunState、stop_reason</w:t>
            </w:r>
          </w:p>
        </w:tc>
      </w:tr>
      <w:tr>
        <w:tc>
          <w:tcPr>
            <w:tcW w:type="dxa" w:w="175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Agent Loop</w:t>
            </w:r>
          </w:p>
        </w:tc>
        <w:tc>
          <w:tcPr>
            <w:tcW w:type="dxa" w:w="5329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执行 ingest、analyze、plan、act、reflect、verify、finalize 状态迁移。</w:t>
            </w:r>
          </w:p>
        </w:tc>
        <w:tc>
          <w:tcPr>
            <w:tcW w:type="dxa" w:w="255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状态事件</w:t>
            </w:r>
          </w:p>
        </w:tc>
      </w:tr>
      <w:tr>
        <w:tc>
          <w:tcPr>
            <w:tcW w:type="dxa" w:w="175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Context Builder</w:t>
            </w:r>
          </w:p>
        </w:tc>
        <w:tc>
          <w:tcPr>
            <w:tcW w:type="dxa" w:w="5329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构建 initial_guide 和 context_snapshot，筛选 repo/runtime/memory 信息。</w:t>
            </w:r>
          </w:p>
        </w:tc>
        <w:tc>
          <w:tcPr>
            <w:tcW w:type="dxa" w:w="255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上下文 bundle</w:t>
            </w:r>
          </w:p>
        </w:tc>
      </w:tr>
      <w:tr>
        <w:tc>
          <w:tcPr>
            <w:tcW w:type="dxa" w:w="175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Memory Manager</w:t>
            </w:r>
          </w:p>
        </w:tc>
        <w:tc>
          <w:tcPr>
            <w:tcW w:type="dxa" w:w="5329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维护运行时记忆，检索和写入稳定长期记忆。</w:t>
            </w:r>
          </w:p>
        </w:tc>
        <w:tc>
          <w:tcPr>
            <w:tcW w:type="dxa" w:w="255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working_memory、memory entries</w:t>
            </w:r>
          </w:p>
        </w:tc>
      </w:tr>
      <w:tr>
        <w:tc>
          <w:tcPr>
            <w:tcW w:type="dxa" w:w="175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Model Adapter</w:t>
            </w:r>
          </w:p>
        </w:tc>
        <w:tc>
          <w:tcPr>
            <w:tcW w:type="dxa" w:w="5329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封装 OpenAI-compatible 模型调用并归一化模型决策。</w:t>
            </w:r>
          </w:p>
        </w:tc>
        <w:tc>
          <w:tcPr>
            <w:tcW w:type="dxa" w:w="255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ModelDecision</w:t>
            </w:r>
          </w:p>
        </w:tc>
      </w:tr>
      <w:tr>
        <w:tc>
          <w:tcPr>
            <w:tcW w:type="dxa" w:w="175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Tool Registry</w:t>
            </w:r>
          </w:p>
        </w:tc>
        <w:tc>
          <w:tcPr>
            <w:tcW w:type="dxa" w:w="5329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注册工具 schema、校验参数、执行受控文件和命令操作。</w:t>
            </w:r>
          </w:p>
        </w:tc>
        <w:tc>
          <w:tcPr>
            <w:tcW w:type="dxa" w:w="255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ToolResult</w:t>
            </w:r>
          </w:p>
        </w:tc>
      </w:tr>
      <w:tr>
        <w:tc>
          <w:tcPr>
            <w:tcW w:type="dxa" w:w="175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Verifier</w:t>
            </w:r>
          </w:p>
        </w:tc>
        <w:tc>
          <w:tcPr>
            <w:tcW w:type="dxa" w:w="5329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运行 verify_commands 与 verify_rules，给出通过、失败或阻塞结论。</w:t>
            </w:r>
          </w:p>
        </w:tc>
        <w:tc>
          <w:tcPr>
            <w:tcW w:type="dxa" w:w="255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VerifyResult</w:t>
            </w:r>
          </w:p>
        </w:tc>
      </w:tr>
      <w:tr>
        <w:tc>
          <w:tcPr>
            <w:tcW w:type="dxa" w:w="175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Reporter / Eval</w:t>
            </w:r>
          </w:p>
        </w:tc>
        <w:tc>
          <w:tcPr>
            <w:tcW w:type="dxa" w:w="5329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生成单 run 报告、批量汇总和策略对比 delta。</w:t>
            </w:r>
          </w:p>
        </w:tc>
        <w:tc>
          <w:tcPr>
            <w:tcW w:type="dxa" w:w="255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report.md、summary.md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3.1 支持的任务类型</w:t>
      </w:r>
    </w:p>
    <w:p>
      <w:pPr>
        <w:spacing w:before="0" w:after="100" w:line="269" w:lineRule="auto"/>
      </w:pP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MVP 支持代码理解、局部 Bug 修复、测试生成和行为保持型重构四类任务。每类任务均要求配置可验证的成功标准，避免只依赖模型自评。</w:t>
      </w:r>
    </w:p>
    <w:p>
      <w:r>
        <w:br w:type="page"/>
      </w:r>
    </w:p>
    <w:p>
      <w:pPr>
        <w:pStyle w:val="Heading1"/>
        <w:spacing w:before="160" w:after="14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四、核心流程与数据模型</w:t>
      </w: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4.1 运行流程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加载任务文本、仓库路径、模型配置和策略配置，创建 run 目录。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进入 analyze 阶段，生成首轮仓库线索、任务关键词和可用记忆提示。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在每轮 plan 前生成 context_snapshot，向模型提供当前事实窗口。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模型返回结构化 ModelDecision，其中 tool_calls 是唯一真实执行来源。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Tool Registry 校验并执行工具，执行结果写入 trace 和 runtime memory。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每轮 act 后进行 reflect 事实压缩，记录进展、失败工具、diff 和 stale/fresh 状态。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求解阶段结束后运行 verify，依据命令和规则判定最终状态。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finalize 生成报告，必要时写入长期记忆。</w:t>
      </w: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4.2 关键数据模型</w:t>
      </w:r>
    </w:p>
    <w:tbl>
      <w:tblPr>
        <w:tblW w:type="dxa" w:w="96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4195"/>
        <w:gridCol w:w="3741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41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核心字段</w:t>
            </w:r>
          </w:p>
        </w:tc>
        <w:tc>
          <w:tcPr>
            <w:tcW w:type="dxa" w:w="37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用途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RunConfig</w:t>
            </w:r>
          </w:p>
        </w:tc>
        <w:tc>
          <w:tcPr>
            <w:tcW w:type="dxa" w:w="419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model_provider、strategy_name、max_steps、trace_level</w:t>
            </w:r>
          </w:p>
        </w:tc>
        <w:tc>
          <w:tcPr>
            <w:tcW w:type="dxa" w:w="374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描述一次运行的配置快照。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TaskSpec</w:t>
            </w:r>
          </w:p>
        </w:tc>
        <w:tc>
          <w:tcPr>
            <w:tcW w:type="dxa" w:w="419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instruction、task_type、success_criteria、validation</w:t>
            </w:r>
          </w:p>
        </w:tc>
        <w:tc>
          <w:tcPr>
            <w:tcW w:type="dxa" w:w="374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描述任务目标和验收条件。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RuntimeState</w:t>
            </w:r>
          </w:p>
        </w:tc>
        <w:tc>
          <w:tcPr>
            <w:tcW w:type="dxa" w:w="419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current_state、step_count、modified_files、stop_reason</w:t>
            </w:r>
          </w:p>
        </w:tc>
        <w:tc>
          <w:tcPr>
            <w:tcW w:type="dxa" w:w="374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描述当前运行状态。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ModelDecision</w:t>
            </w:r>
          </w:p>
        </w:tc>
        <w:tc>
          <w:tcPr>
            <w:tcW w:type="dxa" w:w="419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summary、rationale、planned_actions、working_memory、tool_calls</w:t>
            </w:r>
          </w:p>
        </w:tc>
        <w:tc>
          <w:tcPr>
            <w:tcW w:type="dxa" w:w="374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承载模型决策和工具计划。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ToolResult</w:t>
            </w:r>
          </w:p>
        </w:tc>
        <w:tc>
          <w:tcPr>
            <w:tcW w:type="dxa" w:w="419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tool_name、status、output、error、duration_ms</w:t>
            </w:r>
          </w:p>
        </w:tc>
        <w:tc>
          <w:tcPr>
            <w:tcW w:type="dxa" w:w="374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标准化工具执行结果。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VerifyResult</w:t>
            </w:r>
          </w:p>
        </w:tc>
        <w:tc>
          <w:tcPr>
            <w:tcW w:type="dxa" w:w="419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status、command、exit_code、stdout_summary</w:t>
            </w:r>
          </w:p>
        </w:tc>
        <w:tc>
          <w:tcPr>
            <w:tcW w:type="dxa" w:w="374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标准化验证结论。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  <w:spacing w:before="160" w:after="14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五、接口设计</w:t>
      </w: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5.1 命令行接口</w:t>
      </w:r>
    </w:p>
    <w:tbl>
      <w:tblPr>
        <w:tblW w:type="dxa" w:w="96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5215"/>
        <w:gridCol w:w="2721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接口</w:t>
            </w:r>
          </w:p>
        </w:tc>
        <w:tc>
          <w:tcPr>
            <w:tcW w:type="dxa" w:w="52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命令示例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单任务运行</w:t>
            </w:r>
          </w:p>
        </w:tc>
        <w:tc>
          <w:tcPr>
            <w:tcW w:type="dxa" w:w="521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python -m cli --task "修复指定问题" --repo-root . --output-root runs --config-name default</w:t>
            </w:r>
          </w:p>
        </w:tc>
        <w:tc>
          <w:tcPr>
            <w:tcW w:type="dxa" w:w="272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面向一次代码任务，输出 trace 和 report。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批量评测</w:t>
            </w:r>
          </w:p>
        </w:tc>
        <w:tc>
          <w:tcPr>
            <w:tcW w:type="dxa" w:w="521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python -m cli --eval-task-file eval_tasks/sample_batch.json --repo-root . --output-root runs</w:t>
            </w:r>
          </w:p>
        </w:tc>
        <w:tc>
          <w:tcPr>
            <w:tcW w:type="dxa" w:w="272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按任务集批量运行并生成 summary。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策略对比</w:t>
            </w:r>
          </w:p>
        </w:tc>
        <w:tc>
          <w:tcPr>
            <w:tcW w:type="dxa" w:w="521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python -m cli --eval-task-file eval_tasks/sample_batch.json --compare-strategies default,memory_off</w:t>
            </w:r>
          </w:p>
        </w:tc>
        <w:tc>
          <w:tcPr>
            <w:tcW w:type="dxa" w:w="272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同一任务集下比较多套策略效果。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实验套件</w:t>
            </w:r>
          </w:p>
        </w:tc>
        <w:tc>
          <w:tcPr>
            <w:tcW w:type="dxa" w:w="521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python -m cli --experiment-suite-file experiment_suites/first_batch.json</w:t>
            </w:r>
          </w:p>
        </w:tc>
        <w:tc>
          <w:tcPr>
            <w:tcW w:type="dxa" w:w="272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6"/>
              </w:rPr>
              <w:t>固化多组 comparison，便于阶段性实验。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5.2 内部接口契约</w:t>
      </w:r>
    </w:p>
    <w:tbl>
      <w:tblPr>
        <w:tblW w:type="dxa" w:w="96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267"/>
        <w:gridCol w:w="3288"/>
        <w:gridCol w:w="4081"/>
      </w:tblGrid>
      <w:tr>
        <w:tc>
          <w:tcPr>
            <w:tcW w:type="dxa" w:w="22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接口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输入</w:t>
            </w:r>
          </w:p>
        </w:tc>
        <w:tc>
          <w:tcPr>
            <w:tcW w:type="dxa" w:w="40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输出 / 约束</w:t>
            </w:r>
          </w:p>
        </w:tc>
      </w:tr>
      <w:tr>
        <w:tc>
          <w:tcPr>
            <w:tcW w:type="dxa" w:w="226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ModelAdapter.generate</w:t>
            </w:r>
          </w:p>
        </w:tc>
        <w:tc>
          <w:tcPr>
            <w:tcW w:type="dxa" w:w="3288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统一模型请求、上下文 bundle、工具 schema</w:t>
            </w:r>
          </w:p>
        </w:tc>
        <w:tc>
          <w:tcPr>
            <w:tcW w:type="dxa" w:w="408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返回结构化 ModelDecision；解析失败收口为 model_error。</w:t>
            </w:r>
          </w:p>
        </w:tc>
      </w:tr>
      <w:tr>
        <w:tc>
          <w:tcPr>
            <w:tcW w:type="dxa" w:w="226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ToolRegistry.execute</w:t>
            </w:r>
          </w:p>
        </w:tc>
        <w:tc>
          <w:tcPr>
            <w:tcW w:type="dxa" w:w="3288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tool_name、tool_input、workspace</w:t>
            </w:r>
          </w:p>
        </w:tc>
        <w:tc>
          <w:tcPr>
            <w:tcW w:type="dxa" w:w="408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参数需满足 schema；文件写入限制在 workspace 内。</w:t>
            </w:r>
          </w:p>
        </w:tc>
      </w:tr>
      <w:tr>
        <w:tc>
          <w:tcPr>
            <w:tcW w:type="dxa" w:w="226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Verifier.verify</w:t>
            </w:r>
          </w:p>
        </w:tc>
        <w:tc>
          <w:tcPr>
            <w:tcW w:type="dxa" w:w="3288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verify_commands、verify_rules、run artifacts</w:t>
            </w:r>
          </w:p>
        </w:tc>
        <w:tc>
          <w:tcPr>
            <w:tcW w:type="dxa" w:w="408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返回 passed、failed 或 blocked，不用自由文本替代结论。</w:t>
            </w:r>
          </w:p>
        </w:tc>
      </w:tr>
      <w:tr>
        <w:tc>
          <w:tcPr>
            <w:tcW w:type="dxa" w:w="226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TraceWriter.write</w:t>
            </w:r>
          </w:p>
        </w:tc>
        <w:tc>
          <w:tcPr>
            <w:tcW w:type="dxa" w:w="3288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event_type、state、payload</w:t>
            </w:r>
          </w:p>
        </w:tc>
        <w:tc>
          <w:tcPr>
            <w:tcW w:type="dxa" w:w="408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写入 JSONL；长输出可转存 artifact 并引用。</w:t>
            </w:r>
          </w:p>
        </w:tc>
      </w:tr>
      <w:tr>
        <w:tc>
          <w:tcPr>
            <w:tcW w:type="dxa" w:w="226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Reporter.build</w:t>
            </w:r>
          </w:p>
        </w:tc>
        <w:tc>
          <w:tcPr>
            <w:tcW w:type="dxa" w:w="3288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RuntimeState、Trace、VerifyResult</w:t>
            </w:r>
          </w:p>
        </w:tc>
        <w:tc>
          <w:tcPr>
            <w:tcW w:type="dxa" w:w="408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生成 Markdown 报告和评测汇总。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5.3 工具入参示例</w:t>
      </w:r>
    </w:p>
    <w:tbl>
      <w:tblPr>
        <w:tblW w:type="dxa" w:w="963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637"/>
      </w:tblGrid>
      <w:tr>
        <w:tc>
          <w:tcPr>
            <w:tcW w:type="dxa" w:w="9637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color w:val="1F2937"/>
                <w:sz w:val="18"/>
              </w:rPr>
              <w:t>apply_patch:</w:t>
              <w:br/>
              <w:t xml:space="preserve">  required: [path, old_text, new_text]</w:t>
              <w:br/>
              <w:t xml:space="preserve">  properties:</w:t>
              <w:br/>
              <w:t xml:space="preserve">    path: string</w:t>
              <w:br/>
              <w:t xml:space="preserve">    old_text: string | null</w:t>
              <w:br/>
              <w:t xml:space="preserve">    new_text: string</w:t>
            </w:r>
          </w:p>
        </w:tc>
      </w:tr>
    </w:tbl>
    <w:p>
      <w:pPr>
        <w:spacing w:before="0" w:after="100" w:line="240" w:lineRule="auto"/>
      </w:pPr>
    </w:p>
    <w:p>
      <w:r>
        <w:br w:type="page"/>
      </w:r>
    </w:p>
    <w:p>
      <w:pPr>
        <w:pStyle w:val="Heading1"/>
        <w:spacing w:before="160" w:after="14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六、部署方案</w:t>
      </w: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6.1 部署形态</w:t>
      </w:r>
    </w:p>
    <w:p>
      <w:pPr>
        <w:spacing w:before="0" w:after="100" w:line="269" w:lineRule="auto"/>
      </w:pP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MVP 采用本地部署方式，运行在开发者本机或课程实验环境中。系统不依赖数据库和后台服务，主要依赖 Python 运行环境、项目文件系统、可选模型 API Key 以及 pytest 测试工具。</w:t>
      </w:r>
    </w:p>
    <w:tbl>
      <w:tblPr>
        <w:tblW w:type="dxa" w:w="963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637"/>
      </w:tblGrid>
      <w:tr>
        <w:tc>
          <w:tcPr>
            <w:tcW w:type="dxa" w:w="9637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8FAFC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 w:cs="Consolas"/>
                <w:color w:val="1F2937"/>
                <w:sz w:val="18"/>
              </w:rPr>
              <w:t>Local Machine</w:t>
              <w:br/>
              <w:t xml:space="preserve">  self-coding-agent/</w:t>
              <w:br/>
              <w:t xml:space="preserve">    src/                 # 核心代码</w:t>
              <w:br/>
              <w:t xml:space="preserve">    configs/             # 策略配置</w:t>
              <w:br/>
              <w:t xml:space="preserve">    eval_tasks/          # 评测任务</w:t>
              <w:br/>
              <w:t xml:space="preserve">    runs/                # 运行产物</w:t>
              <w:br/>
              <w:t xml:space="preserve">    .env                 # 可选模型密钥</w:t>
            </w:r>
          </w:p>
        </w:tc>
      </w:tr>
    </w:tbl>
    <w:p>
      <w:pPr>
        <w:spacing w:before="0" w:after="100" w:line="240" w:lineRule="auto"/>
      </w:pP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6.2 部署步骤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安装 Python 3.11 及以上版本，并准备课程实验虚拟环境。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进入项目根目录，执行 pip install -e . 安装为本地可编辑包。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如需真实模型调用，复制 .env.example 为 .env，并配置 DEEPSEEK_API_KEY。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运行 pytest -q 完成回归测试，确认基础功能可用。</w:t>
      </w:r>
    </w:p>
    <w:p>
      <w:pPr>
        <w:pStyle w:val="ListNumber"/>
        <w:spacing w:before="0" w:after="60" w:line="264" w:lineRule="auto"/>
        <w:ind w:left="369" w:hanging="159"/>
      </w:pPr>
      <w:r>
        <w:rPr>
          <w:rFonts w:ascii="Microsoft YaHei" w:hAnsi="Microsoft YaHei" w:eastAsia="Microsoft YaHei" w:cs="Microsoft YaHei"/>
          <w:sz w:val="20"/>
        </w:rPr>
        <w:t>使用 default 配置运行 sample eval，检查 runs 目录产物是否完整。</w:t>
      </w: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6.3 运维与安全</w:t>
      </w:r>
    </w:p>
    <w:tbl>
      <w:tblPr>
        <w:tblW w:type="dxa" w:w="963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14"/>
        <w:gridCol w:w="7823"/>
      </w:tblGrid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密钥管理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API Key 只从 .env 或系统环境变量读取，报告中不记录密钥值。</w:t>
            </w:r>
          </w:p>
        </w:tc>
      </w:tr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文件边界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工具执行限制在 workspace 内，避免修改无关目录。</w:t>
            </w:r>
          </w:p>
        </w:tc>
      </w:tr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命令控制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命令执行设置 timeout，危险命令需被拦截或人工审批。</w:t>
            </w:r>
          </w:p>
        </w:tc>
      </w:tr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产物管理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每次运行独立目录保存 trace、report、summary，便于回溯。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  <w:spacing w:before="160" w:after="14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七、项目实施计划</w:t>
      </w:r>
    </w:p>
    <w:p>
      <w:pPr>
        <w:spacing w:before="0" w:after="100" w:line="269" w:lineRule="auto"/>
      </w:pP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项目按 4 周 MVP 推进，每周形成可验收产物。计划重点不是一次性完成全部智能能力，而是逐步把最小闭环跑通并让每一步都有证据。</w:t>
      </w:r>
    </w:p>
    <w:tbl>
      <w:tblPr>
        <w:tblW w:type="dxa" w:w="96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03"/>
        <w:gridCol w:w="1247"/>
        <w:gridCol w:w="4762"/>
        <w:gridCol w:w="2324"/>
      </w:tblGrid>
      <w:tr>
        <w:tc>
          <w:tcPr>
            <w:tcW w:type="dxa" w:w="13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时间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主要任务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阶段产物</w:t>
            </w:r>
          </w:p>
        </w:tc>
      </w:tr>
      <w:tr>
        <w:tc>
          <w:tcPr>
            <w:tcW w:type="dxa" w:w="130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第 1 阶段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第 1 周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明确 PRD、架构边界、目录结构、配置格式；搭建 CLI 和基础 run 目录。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PRD、ARCHITECTURE、项目骨架</w:t>
            </w:r>
          </w:p>
        </w:tc>
      </w:tr>
      <w:tr>
        <w:tc>
          <w:tcPr>
            <w:tcW w:type="dxa" w:w="130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第 2 阶段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第 2 周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实现固定 Agent Loop、工具注册、文件读取、补丁修改、命令运行和 trace 写入。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可执行单任务 run</w:t>
            </w:r>
          </w:p>
        </w:tc>
      </w:tr>
      <w:tr>
        <w:tc>
          <w:tcPr>
            <w:tcW w:type="dxa" w:w="130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第 3 阶段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第 3 周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实现 Context Builder、Memory Manager、Model Adapter 和结构化决策解析。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可调用模型的最小闭环</w:t>
            </w:r>
          </w:p>
        </w:tc>
      </w:tr>
      <w:tr>
        <w:tc>
          <w:tcPr>
            <w:tcW w:type="dxa" w:w="130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第 4 阶段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第 4 周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补齐 verify_rules、report、eval runner、comparison 和回归测试。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MVP 验收版本</w:t>
            </w:r>
          </w:p>
        </w:tc>
      </w:tr>
      <w:tr>
        <w:tc>
          <w:tcPr>
            <w:tcW w:type="dxa" w:w="130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持续迭代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课后</w:t>
            </w:r>
          </w:p>
        </w:tc>
        <w:tc>
          <w:tcPr>
            <w:tcW w:type="dxa" w:w="476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扩展任务集、优化上下文策略、改进记忆污染诊断和策略对比指标。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实验报告与改进版本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7.1 分工建议</w:t>
      </w:r>
    </w:p>
    <w:tbl>
      <w:tblPr>
        <w:tblW w:type="dxa" w:w="963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14"/>
        <w:gridCol w:w="7823"/>
      </w:tblGrid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架构与核心流程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负责状态机、Orchestrator、数据模型和模块边界。</w:t>
            </w:r>
          </w:p>
        </w:tc>
      </w:tr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工具与验证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负责工具 schema、文件/命令/Git 工具、verify_commands 与 verify_rules。</w:t>
            </w:r>
          </w:p>
        </w:tc>
      </w:tr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评测与报告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负责 eval task、summary、comparison delta 和课程展示材料。</w:t>
            </w:r>
          </w:p>
        </w:tc>
      </w:tr>
      <w:tr>
        <w:tc>
          <w:tcPr>
            <w:tcW w:type="dxa" w:w="1814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文档与验收</w:t>
            </w:r>
          </w:p>
        </w:tc>
        <w:tc>
          <w:tcPr>
            <w:tcW w:type="dxa" w:w="7823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8"/>
              </w:rPr>
              <w:t>负责 README、使用指南、验收命令、项目说明书和最终演示。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  <w:spacing w:before="160" w:after="14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八、风险与应对</w:t>
      </w:r>
    </w:p>
    <w:tbl>
      <w:tblPr>
        <w:tblW w:type="dxa" w:w="96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27"/>
        <w:gridCol w:w="2324"/>
        <w:gridCol w:w="5385"/>
      </w:tblGrid>
      <w:t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影响</w:t>
            </w:r>
          </w:p>
        </w:tc>
        <w:tc>
          <w:tcPr>
            <w:tcW w:type="dxa" w:w="53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应对措施</w:t>
            </w:r>
          </w:p>
        </w:tc>
      </w:tr>
      <w:tr>
        <w:tc>
          <w:tcPr>
            <w:tcW w:type="dxa" w:w="192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上下文召回不准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模型可能读错文件或遗漏关键代码。</w:t>
            </w:r>
          </w:p>
        </w:tc>
        <w:tc>
          <w:tcPr>
            <w:tcW w:type="dxa" w:w="538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使用文件级召回、关键词线索、fresh/stale 缓存状态和结构化 recent_facts。</w:t>
            </w:r>
          </w:p>
        </w:tc>
      </w:tr>
      <w:tr>
        <w:tc>
          <w:tcPr>
            <w:tcW w:type="dxa" w:w="192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模型输出格式不稳定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工具调用无法执行，运行中断。</w:t>
            </w:r>
          </w:p>
        </w:tc>
        <w:tc>
          <w:tcPr>
            <w:tcW w:type="dxa" w:w="538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强制 ModelDecision schema，解析失败进入 model_error 并记录安全摘要。</w:t>
            </w:r>
          </w:p>
        </w:tc>
      </w:tr>
      <w:tr>
        <w:tc>
          <w:tcPr>
            <w:tcW w:type="dxa" w:w="192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工具误操作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修改无关文件或执行危险命令。</w:t>
            </w:r>
          </w:p>
        </w:tc>
        <w:tc>
          <w:tcPr>
            <w:tcW w:type="dxa" w:w="538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限制 workspace 边界，校验工具入参，命令设置 timeout 和黑名单规则。</w:t>
            </w:r>
          </w:p>
        </w:tc>
      </w:tr>
      <w:tr>
        <w:tc>
          <w:tcPr>
            <w:tcW w:type="dxa" w:w="192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验证标准不足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看似完成但无法证明结果正确。</w:t>
            </w:r>
          </w:p>
        </w:tc>
        <w:tc>
          <w:tcPr>
            <w:tcW w:type="dxa" w:w="538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任务必须配置 verify_commands 或 verify_rules；缺失时按 missing_task_verification 失败。</w:t>
            </w:r>
          </w:p>
        </w:tc>
      </w:tr>
      <w:tr>
        <w:tc>
          <w:tcPr>
            <w:tcW w:type="dxa" w:w="192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记忆污染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错误经验跨任务传播。</w:t>
            </w:r>
          </w:p>
        </w:tc>
        <w:tc>
          <w:tcPr>
            <w:tcW w:type="dxa" w:w="5385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仅在验证通过后写入长期记忆，并记录 confidence、conflict_count、status。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  <w:spacing w:before="160" w:after="14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九、技术选型汇总</w:t>
      </w:r>
    </w:p>
    <w:tbl>
      <w:tblPr>
        <w:tblW w:type="dxa" w:w="963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2324"/>
        <w:gridCol w:w="5612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选型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理由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开发语言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Python 3.11+</w:t>
            </w:r>
          </w:p>
        </w:tc>
        <w:tc>
          <w:tcPr>
            <w:tcW w:type="dxa" w:w="561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生态成熟，适合 CLI、文件处理、测试和快速实验。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运行入口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命令行 CLI</w:t>
            </w:r>
          </w:p>
        </w:tc>
        <w:tc>
          <w:tcPr>
            <w:tcW w:type="dxa" w:w="561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实现成本低，适合课程演示和自动化评测。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模型接口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OpenAI-compatible API</w:t>
            </w:r>
          </w:p>
        </w:tc>
        <w:tc>
          <w:tcPr>
            <w:tcW w:type="dxa" w:w="561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兼容多家模型服务，当前默认 DeepSeek endpoint。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配置格式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JSON</w:t>
            </w:r>
          </w:p>
        </w:tc>
        <w:tc>
          <w:tcPr>
            <w:tcW w:type="dxa" w:w="561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易读、易版本管理、易用于策略对比。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日志追踪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JSONL Trace</w:t>
            </w:r>
          </w:p>
        </w:tc>
        <w:tc>
          <w:tcPr>
            <w:tcW w:type="dxa" w:w="561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逐事件追加，便于回放、诊断和聚合统计。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报告格式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Markdown</w:t>
            </w:r>
          </w:p>
        </w:tc>
        <w:tc>
          <w:tcPr>
            <w:tcW w:type="dxa" w:w="561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人类可读，可提交、可归档、可转换。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测试框架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pytest</w:t>
            </w:r>
          </w:p>
        </w:tc>
        <w:tc>
          <w:tcPr>
            <w:tcW w:type="dxa" w:w="561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适合 Python 项目回归测试和 fake model 测试。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数据存储</w:t>
            </w:r>
          </w:p>
        </w:tc>
        <w:tc>
          <w:tcPr>
            <w:tcW w:type="dxa" w:w="2324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本地文件 / JSONL</w:t>
            </w:r>
          </w:p>
        </w:tc>
        <w:tc>
          <w:tcPr>
            <w:tcW w:type="dxa" w:w="561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MVP 无需数据库，部署简单，证据透明。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  <w:spacing w:before="160" w:after="14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十、验收标准</w:t>
      </w:r>
    </w:p>
    <w:p>
      <w:pPr>
        <w:spacing w:before="0" w:after="100" w:line="269" w:lineRule="auto"/>
      </w:pP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验收以“可运行、可追踪、可验证、可比较”为核心，不以模型回答是否流畅作为唯一依据。课程展示时应同时提交运行命令、产物目录和关键报告截图或文档。</w:t>
      </w:r>
    </w:p>
    <w:tbl>
      <w:tblPr>
        <w:tblW w:type="dxa" w:w="963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14"/>
        <w:gridCol w:w="4592"/>
        <w:gridCol w:w="3231"/>
      </w:tblGrid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验收项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通过标准</w:t>
            </w:r>
          </w:p>
        </w:tc>
        <w:tc>
          <w:tcPr>
            <w:tcW w:type="dxa" w:w="32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000000"/>
                <w:sz w:val="18"/>
              </w:rPr>
              <w:t>证据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环境验收</w:t>
            </w:r>
          </w:p>
        </w:tc>
        <w:tc>
          <w:tcPr>
            <w:tcW w:type="dxa" w:w="459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Python 3.11+ 环境可运行，依赖安装成功。</w:t>
            </w:r>
          </w:p>
        </w:tc>
        <w:tc>
          <w:tcPr>
            <w:tcW w:type="dxa" w:w="323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pip install -e . 返回成功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全量测试</w:t>
            </w:r>
          </w:p>
        </w:tc>
        <w:tc>
          <w:tcPr>
            <w:tcW w:type="dxa" w:w="459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pytest -q 返回码为 0，测试全部通过。</w:t>
            </w:r>
          </w:p>
        </w:tc>
        <w:tc>
          <w:tcPr>
            <w:tcW w:type="dxa" w:w="323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测试输出记录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单任务运行</w:t>
            </w:r>
          </w:p>
        </w:tc>
        <w:tc>
          <w:tcPr>
            <w:tcW w:type="dxa" w:w="459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能生成独立 run 目录。</w:t>
            </w:r>
          </w:p>
        </w:tc>
        <w:tc>
          <w:tcPr>
            <w:tcW w:type="dxa" w:w="323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trace.jsonl、report.md、config_snapshot.json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批量评测</w:t>
            </w:r>
          </w:p>
        </w:tc>
        <w:tc>
          <w:tcPr>
            <w:tcW w:type="dxa" w:w="459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sample_batch 可运行并生成汇总。</w:t>
            </w:r>
          </w:p>
        </w:tc>
        <w:tc>
          <w:tcPr>
            <w:tcW w:type="dxa" w:w="323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summary.json、summary.md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策略对比</w:t>
            </w:r>
          </w:p>
        </w:tc>
        <w:tc>
          <w:tcPr>
            <w:tcW w:type="dxa" w:w="459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至少两套策略可对比并输出 delta。</w:t>
            </w:r>
          </w:p>
        </w:tc>
        <w:tc>
          <w:tcPr>
            <w:tcW w:type="dxa" w:w="323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comparison summary 与 task_deltas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验证规则</w:t>
            </w:r>
          </w:p>
        </w:tc>
        <w:tc>
          <w:tcPr>
            <w:tcW w:type="dxa" w:w="459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任务结果由 verify_commands 或 verify_rules 判定。</w:t>
            </w:r>
          </w:p>
        </w:tc>
        <w:tc>
          <w:tcPr>
            <w:tcW w:type="dxa" w:w="323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VerifyResult 与失败分类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安全边界</w:t>
            </w:r>
          </w:p>
        </w:tc>
        <w:tc>
          <w:tcPr>
            <w:tcW w:type="dxa" w:w="459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密钥不进入报告，文件写入受 workspace 限制。</w:t>
            </w:r>
          </w:p>
        </w:tc>
        <w:tc>
          <w:tcPr>
            <w:tcW w:type="dxa" w:w="323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代码检查与运行日志</w:t>
            </w:r>
          </w:p>
        </w:tc>
      </w:tr>
      <w:tr>
        <w:tc>
          <w:tcPr>
            <w:tcW w:type="dxa" w:w="1814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文档完整</w:t>
            </w:r>
          </w:p>
        </w:tc>
        <w:tc>
          <w:tcPr>
            <w:tcW w:type="dxa" w:w="4592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README、架构、使用指南、验收文档和项目说明书齐备。</w:t>
            </w:r>
          </w:p>
        </w:tc>
        <w:tc>
          <w:tcPr>
            <w:tcW w:type="dxa" w:w="3231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000000"/>
                <w:sz w:val="17"/>
              </w:rPr>
              <w:t>docs/ 目录文档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10.1 最终交付物</w:t>
      </w:r>
    </w:p>
    <w:p>
      <w:pPr>
        <w:pStyle w:val="ListBullet"/>
        <w:spacing w:before="0" w:after="60" w:line="264" w:lineRule="auto"/>
        <w:ind w:left="329" w:hanging="142"/>
      </w:pPr>
      <w:r>
        <w:rPr>
          <w:rFonts w:ascii="Microsoft YaHei" w:hAnsi="Microsoft YaHei" w:eastAsia="Microsoft YaHei" w:cs="Microsoft YaHei"/>
          <w:sz w:val="20"/>
        </w:rPr>
        <w:t>项目源代码：src、configs、eval_tasks、tests 等目录。</w:t>
      </w:r>
    </w:p>
    <w:p>
      <w:pPr>
        <w:pStyle w:val="ListBullet"/>
        <w:spacing w:before="0" w:after="60" w:line="264" w:lineRule="auto"/>
        <w:ind w:left="329" w:hanging="142"/>
      </w:pPr>
      <w:r>
        <w:rPr>
          <w:rFonts w:ascii="Microsoft YaHei" w:hAnsi="Microsoft YaHei" w:eastAsia="Microsoft YaHei" w:cs="Microsoft YaHei"/>
          <w:sz w:val="20"/>
        </w:rPr>
        <w:t>运行证据：runs 目录中的 trace、report、summary 和 comparison 结果。</w:t>
      </w:r>
    </w:p>
    <w:p>
      <w:pPr>
        <w:pStyle w:val="ListBullet"/>
        <w:spacing w:before="0" w:after="60" w:line="264" w:lineRule="auto"/>
        <w:ind w:left="329" w:hanging="142"/>
      </w:pPr>
      <w:r>
        <w:rPr>
          <w:rFonts w:ascii="Microsoft YaHei" w:hAnsi="Microsoft YaHei" w:eastAsia="Microsoft YaHei" w:cs="Microsoft YaHei"/>
          <w:sz w:val="20"/>
        </w:rPr>
        <w:t>项目文档：README、PRD、ARCHITECTURE、USAGE_GUIDE、MVP_ACCEPTANCE 与本说明书。</w:t>
      </w:r>
    </w:p>
    <w:p>
      <w:pPr>
        <w:pStyle w:val="Heading2"/>
        <w:spacing w:before="120" w:after="80" w:line="264" w:lineRule="auto"/>
      </w:pPr>
      <w:r>
        <w:rPr>
          <w:rFonts w:ascii="Microsoft YaHei" w:hAnsi="Microsoft YaHei" w:eastAsia="Microsoft YaHei" w:cs="Microsoft YaHei"/>
          <w:b/>
          <w:color w:val="2E74B5"/>
          <w:sz w:val="25"/>
        </w:rPr>
        <w:t>结语</w:t>
      </w:r>
    </w:p>
    <w:p>
      <w:pPr>
        <w:spacing w:before="0" w:after="0" w:line="269" w:lineRule="auto"/>
      </w:pPr>
      <w:r>
        <w:rPr>
          <w:rFonts w:ascii="Microsoft YaHei" w:hAnsi="Microsoft YaHei" w:eastAsia="Microsoft YaHei" w:cs="Microsoft YaHei"/>
          <w:b w:val="0"/>
          <w:i w:val="0"/>
          <w:color w:val="000000"/>
          <w:sz w:val="21"/>
        </w:rPr>
        <w:t>本项目以课程可完成的规模，实现了智能编程系统的关键闭环。它既能作为 coding agent 架构学习样例，也能作为后续策略实验平台，继续围绕上下文、记忆、工具、验证和评测能力进行迭代。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 w:cs="Microsoft YaHei"/>
        <w:color w:val="555555"/>
        <w:sz w:val="18"/>
      </w:rPr>
      <w:t xml:space="preserve">Self Coding Agent 课程项目说明书 |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 w:cs="Microsoft YaHei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