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Availability of resources, fund, school, etc.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to bigger cities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Closeness to work/family resources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Spending time with family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Selling house in Ohio and moving closer to work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Stronger support for the infrastructure of the city and surrounding area such as roads etc.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Fair, balloon festival, community events, school, churches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Overall community activities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Growth of business, community support, improved infrastructure, leadership Meadville, tax incentives for businesses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Reduced drug activities, continued improved education, youth programs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Wish for positive economic growth for business and residents through sound fiscal government.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