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1.3361702127659"/>
        <w:gridCol w:w="525.7531914893617"/>
        <w:gridCol w:w="1091.3361702127659"/>
        <w:gridCol w:w="6651.574468085106"/>
        <w:tblGridChange w:id="0">
          <w:tblGrid>
            <w:gridCol w:w="1091.3361702127659"/>
            <w:gridCol w:w="525.7531914893617"/>
            <w:gridCol w:w="1091.3361702127659"/>
            <w:gridCol w:w="6651.574468085106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Tye Brown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Keiton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 town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the close-knit nature of the community and how everyone can be traced to each other through some kind of network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Children/Youth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the opportunities to engage with youth through sports activities that keep them engaged year-round, out of trouble and provide opportunites for them to succeed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how adult residents can be dedicated to Meadville and often choose to become leaders, be mentors or create safe places for community members in need where people gather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Safety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the low rates of violence or crime that make it safe for kids here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Children/Youth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a variety of activities for children and youth of all ages that facilitate participation across groups and for any skill level that facilitates a don't give up attitude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Children/Youth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active and collaborative activities for children that are less high tech and more interactive and skill building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Children/Youth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local people or teams that become people and things to look up to, be mentored by and strive for.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Amenities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local restaurants that become iconic in the life of residents, like Pizza Villa and the Whole Darn Thing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a local culture that inspires people to try hard and doesn't give up in the face of failure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