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60" w:after="120"/>
        <w:jc w:val="left"/>
      </w:pPr>
      <w:r>
        <w:rPr>
          <w:rFonts w:ascii="Arial" w:hAnsi="Arial"/>
          <w:b/>
          <w:color w:val="000000"/>
          <w:sz w:val="32"/>
        </w:rPr>
        <w:t>DOCUMENTACIÓN DE CONEXIONES EN AIRFLOW INSTITUCIONALES</w:t>
      </w:r>
    </w:p>
    <w:p>
      <w:pPr>
        <w:spacing w:line="276" w:lineRule="auto" w:before="40" w:after="80"/>
        <w:jc w:val="both"/>
      </w:pPr>
      <w:r>
        <w:rPr>
          <w:rFonts w:ascii="Arial" w:hAnsi="Arial"/>
          <w:color w:val="000000"/>
          <w:sz w:val="24"/>
        </w:rPr>
        <w:t>Implementación de la Plataforma ValleDATA para la Gestión y Aprovechamiento de Datos Abiertos en el Departamento del Valle del Cauca</w:t>
      </w:r>
    </w:p>
    <w:p>
      <w:pPr>
        <w:spacing w:line="276" w:lineRule="auto" w:before="40" w:after="80"/>
        <w:jc w:val="both"/>
      </w:pPr>
      <w:r>
        <w:rPr>
          <w:rFonts w:ascii="Arial" w:hAnsi="Arial"/>
          <w:b/>
          <w:color w:val="000000"/>
          <w:sz w:val="24"/>
        </w:rPr>
        <w:t>Documento:</w:t>
      </w:r>
      <w:r>
        <w:rPr>
          <w:rFonts w:ascii="Arial" w:hAnsi="Arial"/>
          <w:color w:val="000000"/>
          <w:sz w:val="24"/>
        </w:rPr>
        <w:t xml:space="preserve"> Documentación de Conexiones en Airflow Institucionales</w:t>
      </w:r>
    </w:p>
    <w:p>
      <w:pPr>
        <w:spacing w:line="276" w:lineRule="auto" w:before="40" w:after="80"/>
        <w:jc w:val="both"/>
      </w:pPr>
      <w:r>
        <w:rPr>
          <w:rFonts w:ascii="Arial" w:hAnsi="Arial"/>
          <w:b/>
          <w:color w:val="000000"/>
          <w:sz w:val="24"/>
        </w:rPr>
        <w:t>Área Responsable:</w:t>
      </w:r>
      <w:r>
        <w:rPr>
          <w:rFonts w:ascii="Arial" w:hAnsi="Arial"/>
          <w:color w:val="000000"/>
          <w:sz w:val="24"/>
        </w:rPr>
        <w:t xml:space="preserve"> Área de Datos - Proyecto Valle Data</w:t>
      </w:r>
    </w:p>
    <w:p>
      <w:pPr>
        <w:spacing w:line="276" w:lineRule="auto" w:before="40" w:after="80"/>
        <w:jc w:val="both"/>
      </w:pPr>
      <w:r>
        <w:rPr>
          <w:rFonts w:ascii="Arial" w:hAnsi="Arial"/>
          <w:b/>
          <w:color w:val="000000"/>
          <w:sz w:val="24"/>
        </w:rPr>
        <w:t>Elaborado por:</w:t>
      </w:r>
      <w:r>
        <w:rPr>
          <w:rFonts w:ascii="Arial" w:hAnsi="Arial"/>
          <w:color w:val="000000"/>
          <w:sz w:val="24"/>
        </w:rPr>
        <w:t xml:space="preserve"> Jhon Jairo Vallejo</w:t>
      </w:r>
    </w:p>
    <w:p>
      <w:pPr>
        <w:spacing w:line="276" w:lineRule="auto" w:before="40" w:after="80"/>
        <w:jc w:val="both"/>
      </w:pPr>
      <w:r>
        <w:rPr>
          <w:rFonts w:ascii="Arial" w:hAnsi="Arial"/>
          <w:b/>
          <w:color w:val="000000"/>
          <w:sz w:val="24"/>
        </w:rPr>
        <w:t>Revisado por:</w:t>
      </w:r>
      <w:r>
        <w:rPr>
          <w:rFonts w:ascii="Arial" w:hAnsi="Arial"/>
          <w:color w:val="000000"/>
          <w:sz w:val="24"/>
        </w:rPr>
        <w:t xml:space="preserve"> Juan Pablo Rios</w:t>
      </w:r>
    </w:p>
    <w:p>
      <w:pPr>
        <w:spacing w:line="276" w:lineRule="auto" w:before="40" w:after="80"/>
        <w:jc w:val="both"/>
      </w:pPr>
      <w:r>
        <w:rPr>
          <w:rFonts w:ascii="Arial" w:hAnsi="Arial"/>
          <w:b/>
          <w:color w:val="000000"/>
          <w:sz w:val="24"/>
        </w:rPr>
        <w:t>Fecha de Actualización:</w:t>
      </w:r>
      <w:r>
        <w:rPr>
          <w:rFonts w:ascii="Arial" w:hAnsi="Arial"/>
          <w:color w:val="000000"/>
          <w:sz w:val="24"/>
        </w:rPr>
        <w:t xml:space="preserve"> 29 de Julio de 2026</w:t>
      </w:r>
    </w:p>
    <w:p>
      <w:pPr>
        <w:spacing w:before="280" w:after="80"/>
        <w:jc w:val="left"/>
      </w:pPr>
      <w:r>
        <w:rPr>
          <w:rFonts w:ascii="Arial" w:hAnsi="Arial"/>
          <w:b/>
          <w:color w:val="000000"/>
          <w:sz w:val="28"/>
        </w:rPr>
        <w:t>Control de Versiones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257"/>
            <w:shd w:fill="003366"/>
            <w:tcMar>
              <w:top w:w="100" w:type="dxa"/>
              <w:bottom w:w="100" w:type="dxa"/>
              <w:left w:w="150" w:type="dxa"/>
              <w:right w:w="150" w:type="dxa"/>
            </w:tcMar>
          </w:tcPr>
          <w:p>
            <w:pPr>
              <w:spacing w:before="60" w:after="60"/>
              <w:jc w:val="left"/>
            </w:pPr>
            <w:r>
              <w:rPr>
                <w:b/>
              </w:rPr>
            </w:r>
            <w:r>
              <w:rPr>
                <w:rFonts w:ascii="Arial" w:hAnsi="Arial"/>
                <w:b/>
                <w:color w:val="FFFFFF"/>
                <w:sz w:val="24"/>
              </w:rPr>
              <w:t>Versión</w:t>
            </w:r>
          </w:p>
        </w:tc>
        <w:tc>
          <w:tcPr>
            <w:tcW w:type="dxa" w:w="2257"/>
            <w:shd w:fill="003366"/>
            <w:tcMar>
              <w:top w:w="100" w:type="dxa"/>
              <w:bottom w:w="100" w:type="dxa"/>
              <w:left w:w="150" w:type="dxa"/>
              <w:right w:w="150" w:type="dxa"/>
            </w:tcMar>
          </w:tcPr>
          <w:p>
            <w:pPr>
              <w:spacing w:before="60" w:after="60"/>
              <w:jc w:val="left"/>
            </w:pPr>
            <w:r>
              <w:rPr>
                <w:b/>
              </w:rPr>
            </w:r>
            <w:r>
              <w:rPr>
                <w:rFonts w:ascii="Arial" w:hAnsi="Arial"/>
                <w:b/>
                <w:color w:val="FFFFFF"/>
                <w:sz w:val="24"/>
              </w:rPr>
              <w:t>Fecha</w:t>
            </w:r>
          </w:p>
        </w:tc>
        <w:tc>
          <w:tcPr>
            <w:tcW w:type="dxa" w:w="2257"/>
            <w:shd w:fill="003366"/>
            <w:tcMar>
              <w:top w:w="100" w:type="dxa"/>
              <w:bottom w:w="100" w:type="dxa"/>
              <w:left w:w="150" w:type="dxa"/>
              <w:right w:w="150" w:type="dxa"/>
            </w:tcMar>
          </w:tcPr>
          <w:p>
            <w:pPr>
              <w:spacing w:before="60" w:after="60"/>
              <w:jc w:val="left"/>
            </w:pPr>
            <w:r>
              <w:rPr>
                <w:b/>
              </w:rPr>
            </w:r>
            <w:r>
              <w:rPr>
                <w:rFonts w:ascii="Arial" w:hAnsi="Arial"/>
                <w:b/>
                <w:color w:val="FFFFFF"/>
                <w:sz w:val="24"/>
              </w:rPr>
              <w:t>Descripción</w:t>
            </w:r>
          </w:p>
        </w:tc>
        <w:tc>
          <w:tcPr>
            <w:tcW w:type="dxa" w:w="2257"/>
            <w:shd w:fill="003366"/>
            <w:tcMar>
              <w:top w:w="100" w:type="dxa"/>
              <w:bottom w:w="100" w:type="dxa"/>
              <w:left w:w="150" w:type="dxa"/>
              <w:right w:w="150" w:type="dxa"/>
            </w:tcMar>
          </w:tcPr>
          <w:p>
            <w:pPr>
              <w:spacing w:before="60" w:after="60"/>
              <w:jc w:val="left"/>
            </w:pPr>
            <w:r>
              <w:rPr>
                <w:b/>
              </w:rPr>
            </w:r>
            <w:r>
              <w:rPr>
                <w:rFonts w:ascii="Arial" w:hAnsi="Arial"/>
                <w:b/>
                <w:color w:val="FFFFFF"/>
                <w:sz w:val="24"/>
              </w:rPr>
              <w:t>Autor</w:t>
            </w:r>
          </w:p>
        </w:tc>
      </w:tr>
      <w:tr>
        <w:tc>
          <w:tcPr>
            <w:tcW w:type="dxa" w:w="2257"/>
            <w:shd w:fill="F8F9FA"/>
            <w:tcMar>
              <w:top w:w="100" w:type="dxa"/>
              <w:bottom w:w="100" w:type="dxa"/>
              <w:left w:w="150" w:type="dxa"/>
              <w:right w:w="150" w:type="dxa"/>
            </w:tcMar>
          </w:tcPr>
          <w:p>
            <w:pPr>
              <w:spacing w:before="60" w:after="60"/>
              <w:jc w:val="left"/>
            </w:pPr>
            <w:r/>
            <w:r>
              <w:rPr>
                <w:rFonts w:ascii="Arial" w:hAnsi="Arial"/>
                <w:color w:val="000000"/>
                <w:sz w:val="24"/>
              </w:rPr>
              <w:t>1.0</w:t>
            </w:r>
          </w:p>
        </w:tc>
        <w:tc>
          <w:tcPr>
            <w:tcW w:type="dxa" w:w="2257"/>
            <w:shd w:fill="F8F9FA"/>
            <w:tcMar>
              <w:top w:w="100" w:type="dxa"/>
              <w:bottom w:w="100" w:type="dxa"/>
              <w:left w:w="150" w:type="dxa"/>
              <w:right w:w="150" w:type="dxa"/>
            </w:tcMar>
          </w:tcPr>
          <w:p>
            <w:pPr>
              <w:spacing w:before="60" w:after="60"/>
              <w:jc w:val="left"/>
            </w:pPr>
            <w:r/>
            <w:r>
              <w:rPr>
                <w:rFonts w:ascii="Arial" w:hAnsi="Arial"/>
                <w:color w:val="000000"/>
                <w:sz w:val="24"/>
              </w:rPr>
              <w:t>29 de Julio de 2026</w:t>
            </w:r>
          </w:p>
        </w:tc>
        <w:tc>
          <w:tcPr>
            <w:tcW w:type="dxa" w:w="2257"/>
            <w:shd w:fill="F8F9FA"/>
            <w:tcMar>
              <w:top w:w="100" w:type="dxa"/>
              <w:bottom w:w="100" w:type="dxa"/>
              <w:left w:w="150" w:type="dxa"/>
              <w:right w:w="150" w:type="dxa"/>
            </w:tcMar>
          </w:tcPr>
          <w:p>
            <w:pPr>
              <w:spacing w:before="60" w:after="60"/>
              <w:jc w:val="left"/>
            </w:pPr>
            <w:r/>
            <w:r>
              <w:rPr>
                <w:rFonts w:ascii="Arial" w:hAnsi="Arial"/>
                <w:color w:val="000000"/>
                <w:sz w:val="24"/>
              </w:rPr>
              <w:t>Creación de Documento</w:t>
            </w:r>
          </w:p>
        </w:tc>
        <w:tc>
          <w:tcPr>
            <w:tcW w:type="dxa" w:w="2257"/>
            <w:shd w:fill="F8F9FA"/>
            <w:tcMar>
              <w:top w:w="100" w:type="dxa"/>
              <w:bottom w:w="100" w:type="dxa"/>
              <w:left w:w="150" w:type="dxa"/>
              <w:right w:w="150" w:type="dxa"/>
            </w:tcMar>
          </w:tcPr>
          <w:p>
            <w:pPr>
              <w:spacing w:before="60" w:after="60"/>
              <w:jc w:val="left"/>
            </w:pPr>
            <w:r/>
            <w:r>
              <w:rPr>
                <w:rFonts w:ascii="Arial" w:hAnsi="Arial"/>
                <w:color w:val="000000"/>
                <w:sz w:val="24"/>
              </w:rPr>
              <w:t>Jhon Jairo Vallejo</w:t>
            </w:r>
          </w:p>
        </w:tc>
      </w:tr>
    </w:tbl>
    <w:p/>
    <w:p>
      <w:pPr>
        <w:spacing w:before="120" w:after="120"/>
        <w:jc w:val="center"/>
      </w:pPr>
      <w:r>
        <w:rPr>
          <w:color w:val="C8C8C8"/>
        </w:rPr>
        <w:t>―――――――――――――――――――――――――――――――――――――――――――――</w:t>
      </w:r>
    </w:p>
    <w:p>
      <w:pPr>
        <w:spacing w:before="280" w:after="80"/>
        <w:jc w:val="left"/>
      </w:pPr>
      <w:r>
        <w:rPr>
          <w:rFonts w:ascii="Arial" w:hAnsi="Arial"/>
          <w:b/>
          <w:color w:val="000000"/>
          <w:sz w:val="28"/>
        </w:rPr>
        <w:t>1. Definiciones y Explicación para Personal No Técnico</w:t>
      </w:r>
    </w:p>
    <w:p>
      <w:pPr>
        <w:spacing w:before="240" w:after="80"/>
        <w:jc w:val="left"/>
      </w:pPr>
      <w:r>
        <w:rPr>
          <w:rFonts w:ascii="Arial" w:hAnsi="Arial"/>
          <w:b/>
          <w:color w:val="000000"/>
          <w:sz w:val="28"/>
        </w:rPr>
        <w:t>¿Qué es una Conexión en Airflow? (Puente de Comunicación Digital)</w:t>
      </w:r>
    </w:p>
    <w:p>
      <w:pPr>
        <w:spacing w:line="276" w:lineRule="auto" w:before="40" w:after="80"/>
        <w:jc w:val="both"/>
      </w:pPr>
      <w:r>
        <w:rPr>
          <w:rFonts w:ascii="Arial" w:hAnsi="Arial"/>
          <w:color w:val="000000"/>
          <w:sz w:val="24"/>
        </w:rPr>
        <w:t xml:space="preserve">Imagine que la plataforma </w:t>
      </w:r>
      <w:r>
        <w:rPr>
          <w:rFonts w:ascii="Arial" w:hAnsi="Arial"/>
          <w:b/>
          <w:color w:val="000000"/>
          <w:sz w:val="24"/>
        </w:rPr>
        <w:t>ValleDATA</w:t>
      </w:r>
      <w:r>
        <w:rPr>
          <w:rFonts w:ascii="Arial" w:hAnsi="Arial"/>
          <w:color w:val="000000"/>
          <w:sz w:val="24"/>
        </w:rPr>
        <w:t xml:space="preserve"> necesita comunicarse periódicamente con otras entidades del estado (como el DANE o la Gobernación del Valle del Cauca) y agencias internacionales (como la NOAA).</w:t>
      </w:r>
    </w:p>
    <w:p>
      <w:pPr>
        <w:spacing w:line="276" w:lineRule="auto" w:before="40" w:after="80"/>
        <w:jc w:val="both"/>
      </w:pPr>
      <w:r>
        <w:rPr>
          <w:rFonts w:ascii="Arial" w:hAnsi="Arial"/>
          <w:color w:val="000000"/>
          <w:sz w:val="24"/>
        </w:rPr>
        <w:t xml:space="preserve">En lugar de que un usuario ingrese manualmente una dirección web y contraseñas cada vez que necesita descargar un archivo, Airflow utiliza </w:t>
      </w:r>
      <w:r>
        <w:rPr>
          <w:rFonts w:ascii="Arial" w:hAnsi="Arial"/>
          <w:b/>
          <w:color w:val="000000"/>
          <w:sz w:val="24"/>
        </w:rPr>
        <w:t>Conexiones</w:t>
      </w:r>
      <w:r>
        <w:rPr>
          <w:rFonts w:ascii="Arial" w:hAnsi="Arial"/>
          <w:color w:val="000000"/>
          <w:sz w:val="24"/>
        </w:rPr>
        <w:t>.</w:t>
      </w:r>
    </w:p>
    <w:p>
      <w:pPr>
        <w:spacing w:line="276" w:lineRule="auto" w:before="20" w:after="60"/>
        <w:ind w:left="360"/>
        <w:jc w:val="both"/>
      </w:pPr>
      <w:r>
        <w:rPr>
          <w:rFonts w:ascii="Arial" w:hAnsi="Arial"/>
          <w:color w:val="000000"/>
          <w:sz w:val="24"/>
        </w:rPr>
        <w:t xml:space="preserve">•  </w:t>
      </w:r>
      <w:r>
        <w:rPr>
          <w:rFonts w:ascii="Arial" w:hAnsi="Arial"/>
          <w:b/>
          <w:color w:val="000000"/>
          <w:sz w:val="24"/>
        </w:rPr>
        <w:t>El Puente Digital:</w:t>
      </w:r>
      <w:r>
        <w:rPr>
          <w:rFonts w:ascii="Arial" w:hAnsi="Arial"/>
          <w:color w:val="000000"/>
          <w:sz w:val="24"/>
        </w:rPr>
        <w:t xml:space="preserve"> Una conexión en Airflow es una </w:t>
      </w:r>
      <w:r>
        <w:rPr>
          <w:rFonts w:ascii="Arial" w:hAnsi="Arial"/>
          <w:b/>
          <w:color w:val="000000"/>
          <w:sz w:val="24"/>
        </w:rPr>
        <w:t>ficha de acceso guardada en un casillero seguro</w:t>
      </w:r>
      <w:r>
        <w:rPr>
          <w:rFonts w:ascii="Arial" w:hAnsi="Arial"/>
          <w:color w:val="000000"/>
          <w:sz w:val="24"/>
        </w:rPr>
        <w:t>. Registra la dirección web oficial (</w:t>
      </w:r>
      <w:r>
        <w:rPr>
          <w:rFonts w:ascii="Arial" w:hAnsi="Arial"/>
          <w:i/>
          <w:color w:val="000000"/>
          <w:sz w:val="24"/>
        </w:rPr>
        <w:t>Host</w:t>
      </w:r>
      <w:r>
        <w:rPr>
          <w:rFonts w:ascii="Arial" w:hAnsi="Arial"/>
          <w:color w:val="000000"/>
          <w:sz w:val="24"/>
        </w:rPr>
        <w:t>) y el tipo de protocolo (</w:t>
      </w:r>
      <w:r>
        <w:rPr>
          <w:rFonts w:ascii="Arial" w:hAnsi="Arial"/>
          <w:i/>
          <w:color w:val="000000"/>
          <w:sz w:val="24"/>
        </w:rPr>
        <w:t>HTTP</w:t>
      </w:r>
      <w:r>
        <w:rPr>
          <w:rFonts w:ascii="Arial" w:hAnsi="Arial"/>
          <w:color w:val="000000"/>
          <w:sz w:val="24"/>
        </w:rPr>
        <w:t>), de modo que el sistema sepa exactamente a dónde acudir sin intervención humana.</w:t>
      </w:r>
    </w:p>
    <w:p>
      <w:pPr>
        <w:spacing w:line="276" w:lineRule="auto" w:before="20" w:after="60"/>
        <w:ind w:left="360"/>
        <w:jc w:val="both"/>
      </w:pPr>
      <w:r>
        <w:rPr>
          <w:rFonts w:ascii="Arial" w:hAnsi="Arial"/>
          <w:color w:val="000000"/>
          <w:sz w:val="24"/>
        </w:rPr>
        <w:t xml:space="preserve">•  </w:t>
      </w:r>
      <w:r>
        <w:rPr>
          <w:rFonts w:ascii="Arial" w:hAnsi="Arial"/>
          <w:b/>
          <w:color w:val="000000"/>
          <w:sz w:val="24"/>
        </w:rPr>
        <w:t>Seguridad y Centralización:</w:t>
      </w:r>
      <w:r>
        <w:rPr>
          <w:rFonts w:ascii="Arial" w:hAnsi="Arial"/>
          <w:color w:val="000000"/>
          <w:sz w:val="24"/>
        </w:rPr>
        <w:t xml:space="preserve"> Si un sitio web cambia su dirección de acceso, los ingenieros solo deben actualizar la conexión en un solo lugar en la pantalla de administración de Airflow, y todos los programas de descarga seguirán funcionando automáticamente.</w:t>
      </w:r>
    </w:p>
    <w:p>
      <w:pPr>
        <w:spacing w:before="120" w:after="120"/>
        <w:jc w:val="center"/>
      </w:pPr>
      <w:r>
        <w:rPr>
          <w:color w:val="C8C8C8"/>
        </w:rPr>
        <w:t>―――――――――――――――――――――――――――――――――――――――――――――</w:t>
      </w:r>
    </w:p>
    <w:p>
      <w:pPr>
        <w:spacing w:before="280" w:after="80"/>
        <w:jc w:val="left"/>
      </w:pPr>
      <w:r>
        <w:rPr>
          <w:rFonts w:ascii="Arial" w:hAnsi="Arial"/>
          <w:b/>
          <w:color w:val="000000"/>
          <w:sz w:val="28"/>
        </w:rPr>
        <w:t>2. Resumen de Conexiones a Sitios Externos</w:t>
      </w:r>
    </w:p>
    <w:p>
      <w:pPr>
        <w:spacing w:line="276" w:lineRule="auto" w:before="40" w:after="80"/>
        <w:jc w:val="both"/>
      </w:pPr>
      <w:r>
        <w:rPr>
          <w:rFonts w:ascii="Arial" w:hAnsi="Arial"/>
          <w:color w:val="000000"/>
          <w:sz w:val="24"/>
        </w:rPr>
        <w:t xml:space="preserve">En este sistema, se han configurado </w:t>
      </w:r>
      <w:r>
        <w:rPr>
          <w:rFonts w:ascii="Arial" w:hAnsi="Arial"/>
          <w:b/>
          <w:color w:val="000000"/>
          <w:sz w:val="24"/>
        </w:rPr>
        <w:t>3 conexiones institucionales de tipo HTTP</w:t>
      </w:r>
      <w:r>
        <w:rPr>
          <w:rFonts w:ascii="Arial" w:hAnsi="Arial"/>
          <w:color w:val="000000"/>
          <w:sz w:val="24"/>
        </w:rPr>
        <w:t xml:space="preserve"> hacia los portales oficiales de datos públicos:</w:t>
      </w:r>
    </w:p>
    <w:p>
      <w:pPr>
        <w:spacing w:before="200" w:after="80"/>
        <w:jc w:val="center"/>
      </w:pPr>
      <w:r>
        <w:drawing>
          <wp:inline>
            <wp:extent cx="5303520" cy="1139428"/>
            <wp:docPr id="1" name="Picture 1"/>
            <wp:cNvGraphicFramePr>
              <a:graphicFrameLocks noChangeAspect="1"/>
            </wp:cNvGraphicFramePr>
            <a:graphic>
              <a:graphicData uri="http://schemas.openxmlformats.org/drawingml/2006/picture">
                <pic:pic>
                  <pic:nvPicPr>
                    <pic:cNvPr id="0" name="media__1785346072636.png"/>
                    <pic:cNvPicPr/>
                  </pic:nvPicPr>
                  <pic:blipFill>
                    <a:blip r:embed="rId7"/>
                    <a:stretch>
                      <a:fillRect/>
                    </a:stretch>
                  </pic:blipFill>
                  <pic:spPr>
                    <a:xfrm>
                      <a:off x="0" y="0"/>
                      <a:ext cx="5303520" cy="1139428"/>
                    </a:xfrm>
                    <a:prstGeom prst="rect"/>
                  </pic:spPr>
                </pic:pic>
              </a:graphicData>
            </a:graphic>
          </wp:inline>
        </w:drawing>
      </w:r>
    </w:p>
    <w:p>
      <w:pPr>
        <w:spacing w:after="240"/>
        <w:jc w:val="center"/>
      </w:pPr>
      <w:r>
        <w:rPr>
          <w:rFonts w:ascii="Arial" w:hAnsi="Arial"/>
          <w:i/>
          <w:color w:val="646464"/>
          <w:sz w:val="20"/>
        </w:rPr>
        <w:t>Figura: Conexiones Registradas en Airflow UI</w:t>
      </w:r>
    </w:p>
    <w:p>
      <w:pPr>
        <w:spacing w:before="120" w:after="120"/>
        <w:jc w:val="center"/>
      </w:pPr>
      <w:r>
        <w:rPr>
          <w:color w:val="C8C8C8"/>
        </w:rPr>
        <w:t>―――――――――――――――――――――――――――――――――――――――――――――</w:t>
      </w:r>
    </w:p>
    <w:p>
      <w:pPr>
        <w:spacing w:before="280" w:after="80"/>
        <w:jc w:val="left"/>
      </w:pPr>
      <w:r>
        <w:rPr>
          <w:rFonts w:ascii="Arial" w:hAnsi="Arial"/>
          <w:b/>
          <w:color w:val="000000"/>
          <w:sz w:val="28"/>
        </w:rPr>
        <w:t>3. Matriz Consolidada de Conexiones Institucionales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003366"/>
            <w:tcMar>
              <w:top w:w="100" w:type="dxa"/>
              <w:bottom w:w="100" w:type="dxa"/>
              <w:left w:w="150" w:type="dxa"/>
              <w:right w:w="150" w:type="dxa"/>
            </w:tcMar>
          </w:tcPr>
          <w:p>
            <w:pPr>
              <w:spacing w:before="60" w:after="60"/>
              <w:jc w:val="left"/>
            </w:pPr>
            <w:r>
              <w:rPr>
                <w:b/>
              </w:rPr>
            </w:r>
            <w:r>
              <w:rPr>
                <w:rFonts w:ascii="Arial" w:hAnsi="Arial"/>
                <w:b/>
                <w:color w:val="FFFFFF"/>
                <w:sz w:val="24"/>
              </w:rPr>
              <w:t>ID Conexión (</w:t>
            </w:r>
            <w:r>
              <w:rPr>
                <w:rFonts w:ascii="Consolas" w:hAnsi="Consolas"/>
                <w:b/>
                <w:color w:val="C7254E"/>
                <w:sz w:val="20"/>
              </w:rPr>
              <w:t>Connection ID</w:t>
            </w:r>
            <w:r>
              <w:rPr>
                <w:rFonts w:ascii="Arial" w:hAnsi="Arial"/>
                <w:b/>
                <w:color w:val="FFFFFF"/>
                <w:sz w:val="24"/>
              </w:rPr>
              <w:t>)</w:t>
            </w:r>
          </w:p>
        </w:tc>
        <w:tc>
          <w:tcPr>
            <w:tcW w:type="dxa" w:w="1806"/>
            <w:shd w:fill="003366"/>
            <w:tcMar>
              <w:top w:w="100" w:type="dxa"/>
              <w:bottom w:w="100" w:type="dxa"/>
              <w:left w:w="150" w:type="dxa"/>
              <w:right w:w="150" w:type="dxa"/>
            </w:tcMar>
          </w:tcPr>
          <w:p>
            <w:pPr>
              <w:spacing w:before="60" w:after="60"/>
              <w:jc w:val="left"/>
            </w:pPr>
            <w:r>
              <w:rPr>
                <w:b/>
              </w:rPr>
            </w:r>
            <w:r>
              <w:rPr>
                <w:rFonts w:ascii="Arial" w:hAnsi="Arial"/>
                <w:b/>
                <w:color w:val="FFFFFF"/>
                <w:sz w:val="24"/>
              </w:rPr>
              <w:t>Tipo (</w:t>
            </w:r>
            <w:r>
              <w:rPr>
                <w:rFonts w:ascii="Consolas" w:hAnsi="Consolas"/>
                <w:b/>
                <w:color w:val="C7254E"/>
                <w:sz w:val="20"/>
              </w:rPr>
              <w:t>Connection Type</w:t>
            </w:r>
            <w:r>
              <w:rPr>
                <w:rFonts w:ascii="Arial" w:hAnsi="Arial"/>
                <w:b/>
                <w:color w:val="FFFFFF"/>
                <w:sz w:val="24"/>
              </w:rPr>
              <w:t>)</w:t>
            </w:r>
          </w:p>
        </w:tc>
        <w:tc>
          <w:tcPr>
            <w:tcW w:type="dxa" w:w="1806"/>
            <w:shd w:fill="003366"/>
            <w:tcMar>
              <w:top w:w="100" w:type="dxa"/>
              <w:bottom w:w="100" w:type="dxa"/>
              <w:left w:w="150" w:type="dxa"/>
              <w:right w:w="150" w:type="dxa"/>
            </w:tcMar>
          </w:tcPr>
          <w:p>
            <w:pPr>
              <w:spacing w:before="60" w:after="60"/>
              <w:jc w:val="left"/>
            </w:pPr>
            <w:r>
              <w:rPr>
                <w:b/>
              </w:rPr>
            </w:r>
            <w:r>
              <w:rPr>
                <w:rFonts w:ascii="Arial" w:hAnsi="Arial"/>
                <w:b/>
                <w:color w:val="FFFFFF"/>
                <w:sz w:val="24"/>
              </w:rPr>
              <w:t>Host Base (</w:t>
            </w:r>
            <w:r>
              <w:rPr>
                <w:rFonts w:ascii="Consolas" w:hAnsi="Consolas"/>
                <w:b/>
                <w:color w:val="C7254E"/>
                <w:sz w:val="20"/>
              </w:rPr>
              <w:t>Host</w:t>
            </w:r>
            <w:r>
              <w:rPr>
                <w:rFonts w:ascii="Arial" w:hAnsi="Arial"/>
                <w:b/>
                <w:color w:val="FFFFFF"/>
                <w:sz w:val="24"/>
              </w:rPr>
              <w:t>)</w:t>
            </w:r>
          </w:p>
        </w:tc>
        <w:tc>
          <w:tcPr>
            <w:tcW w:type="dxa" w:w="1806"/>
            <w:shd w:fill="003366"/>
            <w:tcMar>
              <w:top w:w="100" w:type="dxa"/>
              <w:bottom w:w="100" w:type="dxa"/>
              <w:left w:w="150" w:type="dxa"/>
              <w:right w:w="150" w:type="dxa"/>
            </w:tcMar>
          </w:tcPr>
          <w:p>
            <w:pPr>
              <w:spacing w:before="60" w:after="60"/>
              <w:jc w:val="left"/>
            </w:pPr>
            <w:r>
              <w:rPr>
                <w:b/>
              </w:rPr>
            </w:r>
            <w:r>
              <w:rPr>
                <w:rFonts w:ascii="Arial" w:hAnsi="Arial"/>
                <w:b/>
                <w:color w:val="FFFFFF"/>
                <w:sz w:val="24"/>
              </w:rPr>
              <w:t>Entidad Propietaria</w:t>
            </w:r>
          </w:p>
        </w:tc>
        <w:tc>
          <w:tcPr>
            <w:tcW w:type="dxa" w:w="1806"/>
            <w:shd w:fill="003366"/>
            <w:tcMar>
              <w:top w:w="100" w:type="dxa"/>
              <w:bottom w:w="100" w:type="dxa"/>
              <w:left w:w="150" w:type="dxa"/>
              <w:right w:w="150" w:type="dxa"/>
            </w:tcMar>
          </w:tcPr>
          <w:p>
            <w:pPr>
              <w:spacing w:before="60" w:after="60"/>
              <w:jc w:val="left"/>
            </w:pPr>
            <w:r>
              <w:rPr>
                <w:b/>
              </w:rPr>
            </w:r>
            <w:r>
              <w:rPr>
                <w:rFonts w:ascii="Arial" w:hAnsi="Arial"/>
                <w:b/>
                <w:color w:val="FFFFFF"/>
                <w:sz w:val="24"/>
              </w:rPr>
              <w:t>DAG Asociado</w:t>
            </w:r>
          </w:p>
        </w:tc>
      </w:tr>
      <w:tr>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gobernacion_valle</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http</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https://datosabiertos.valledelcauca.gov.co</w:t>
            </w:r>
          </w:p>
        </w:tc>
        <w:tc>
          <w:tcPr>
            <w:tcW w:type="dxa" w:w="1806"/>
            <w:shd w:fill="F8F9FA"/>
            <w:tcMar>
              <w:top w:w="100" w:type="dxa"/>
              <w:bottom w:w="100" w:type="dxa"/>
              <w:left w:w="150" w:type="dxa"/>
              <w:right w:w="150" w:type="dxa"/>
            </w:tcMar>
          </w:tcPr>
          <w:p>
            <w:pPr>
              <w:spacing w:before="60" w:after="60"/>
              <w:jc w:val="left"/>
            </w:pPr>
            <w:r/>
            <w:r>
              <w:rPr>
                <w:rFonts w:ascii="Arial" w:hAnsi="Arial"/>
                <w:color w:val="000000"/>
                <w:sz w:val="24"/>
              </w:rPr>
              <w:t>Gobernación del Valle del Cauca</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cultivos_valle_import</w:t>
            </w:r>
          </w:p>
        </w:tc>
      </w:tr>
      <w:tr>
        <w:tc>
          <w:tcPr>
            <w:tcW w:type="dxa" w:w="1806"/>
            <w:shd w:fill="FFFFFF"/>
            <w:tcMar>
              <w:top w:w="100" w:type="dxa"/>
              <w:bottom w:w="100" w:type="dxa"/>
              <w:left w:w="150" w:type="dxa"/>
              <w:right w:w="150" w:type="dxa"/>
            </w:tcMar>
          </w:tcPr>
          <w:p>
            <w:pPr>
              <w:spacing w:before="60" w:after="60"/>
              <w:jc w:val="left"/>
            </w:pPr>
            <w:r/>
            <w:r>
              <w:rPr>
                <w:rFonts w:ascii="Consolas" w:hAnsi="Consolas"/>
                <w:color w:val="C7254E"/>
                <w:sz w:val="20"/>
              </w:rPr>
              <w:t>noaa_oni</w:t>
            </w:r>
          </w:p>
        </w:tc>
        <w:tc>
          <w:tcPr>
            <w:tcW w:type="dxa" w:w="1806"/>
            <w:shd w:fill="FFFFFF"/>
            <w:tcMar>
              <w:top w:w="100" w:type="dxa"/>
              <w:bottom w:w="100" w:type="dxa"/>
              <w:left w:w="150" w:type="dxa"/>
              <w:right w:w="150" w:type="dxa"/>
            </w:tcMar>
          </w:tcPr>
          <w:p>
            <w:pPr>
              <w:spacing w:before="60" w:after="60"/>
              <w:jc w:val="left"/>
            </w:pPr>
            <w:r/>
            <w:r>
              <w:rPr>
                <w:rFonts w:ascii="Consolas" w:hAnsi="Consolas"/>
                <w:color w:val="C7254E"/>
                <w:sz w:val="20"/>
              </w:rPr>
              <w:t>http</w:t>
            </w:r>
          </w:p>
        </w:tc>
        <w:tc>
          <w:tcPr>
            <w:tcW w:type="dxa" w:w="1806"/>
            <w:shd w:fill="FFFFFF"/>
            <w:tcMar>
              <w:top w:w="100" w:type="dxa"/>
              <w:bottom w:w="100" w:type="dxa"/>
              <w:left w:w="150" w:type="dxa"/>
              <w:right w:w="150" w:type="dxa"/>
            </w:tcMar>
          </w:tcPr>
          <w:p>
            <w:pPr>
              <w:spacing w:before="60" w:after="60"/>
              <w:jc w:val="left"/>
            </w:pPr>
            <w:r/>
            <w:r>
              <w:rPr>
                <w:rFonts w:ascii="Consolas" w:hAnsi="Consolas"/>
                <w:color w:val="C7254E"/>
                <w:sz w:val="20"/>
              </w:rPr>
              <w:t>https://www.cpc.ncep.noaa.gov</w:t>
            </w:r>
          </w:p>
        </w:tc>
        <w:tc>
          <w:tcPr>
            <w:tcW w:type="dxa" w:w="1806"/>
            <w:shd w:fill="FFFFFF"/>
            <w:tcMar>
              <w:top w:w="100" w:type="dxa"/>
              <w:bottom w:w="100" w:type="dxa"/>
              <w:left w:w="150" w:type="dxa"/>
              <w:right w:w="150" w:type="dxa"/>
            </w:tcMar>
          </w:tcPr>
          <w:p>
            <w:pPr>
              <w:spacing w:before="60" w:after="60"/>
              <w:jc w:val="left"/>
            </w:pPr>
            <w:r/>
            <w:r>
              <w:rPr>
                <w:rFonts w:ascii="Arial" w:hAnsi="Arial"/>
                <w:color w:val="000000"/>
                <w:sz w:val="24"/>
              </w:rPr>
              <w:t>NOAA (Estados Unidos)</w:t>
            </w:r>
          </w:p>
        </w:tc>
        <w:tc>
          <w:tcPr>
            <w:tcW w:type="dxa" w:w="1806"/>
            <w:shd w:fill="FFFFFF"/>
            <w:tcMar>
              <w:top w:w="100" w:type="dxa"/>
              <w:bottom w:w="100" w:type="dxa"/>
              <w:left w:w="150" w:type="dxa"/>
              <w:right w:w="150" w:type="dxa"/>
            </w:tcMar>
          </w:tcPr>
          <w:p>
            <w:pPr>
              <w:spacing w:before="60" w:after="60"/>
              <w:jc w:val="left"/>
            </w:pPr>
            <w:r/>
            <w:r>
              <w:rPr>
                <w:rFonts w:ascii="Consolas" w:hAnsi="Consolas"/>
                <w:color w:val="C7254E"/>
                <w:sz w:val="20"/>
              </w:rPr>
              <w:t>oni_fenomeno_nino_import</w:t>
            </w:r>
          </w:p>
        </w:tc>
      </w:tr>
      <w:tr>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sipsa_dane</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http</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https://www.dane.gov.co</w:t>
            </w:r>
          </w:p>
        </w:tc>
        <w:tc>
          <w:tcPr>
            <w:tcW w:type="dxa" w:w="1806"/>
            <w:shd w:fill="F8F9FA"/>
            <w:tcMar>
              <w:top w:w="100" w:type="dxa"/>
              <w:bottom w:w="100" w:type="dxa"/>
              <w:left w:w="150" w:type="dxa"/>
              <w:right w:w="150" w:type="dxa"/>
            </w:tcMar>
          </w:tcPr>
          <w:p>
            <w:pPr>
              <w:spacing w:before="60" w:after="60"/>
              <w:jc w:val="left"/>
            </w:pPr>
            <w:r/>
            <w:r>
              <w:rPr>
                <w:rFonts w:ascii="Arial" w:hAnsi="Arial"/>
                <w:color w:val="000000"/>
                <w:sz w:val="24"/>
              </w:rPr>
              <w:t>DANE (Colombia)</w:t>
            </w:r>
          </w:p>
        </w:tc>
        <w:tc>
          <w:tcPr>
            <w:tcW w:type="dxa" w:w="1806"/>
            <w:shd w:fill="F8F9FA"/>
            <w:tcMar>
              <w:top w:w="100" w:type="dxa"/>
              <w:bottom w:w="100" w:type="dxa"/>
              <w:left w:w="150" w:type="dxa"/>
              <w:right w:w="150" w:type="dxa"/>
            </w:tcMar>
          </w:tcPr>
          <w:p>
            <w:pPr>
              <w:spacing w:before="60" w:after="60"/>
              <w:jc w:val="left"/>
            </w:pPr>
            <w:r/>
            <w:r>
              <w:rPr>
                <w:rFonts w:ascii="Consolas" w:hAnsi="Consolas"/>
                <w:color w:val="C7254E"/>
                <w:sz w:val="20"/>
              </w:rPr>
              <w:t>sipsa_import</w:t>
            </w:r>
          </w:p>
        </w:tc>
      </w:tr>
    </w:tbl>
    <w:p/>
    <w:p>
      <w:pPr>
        <w:spacing w:before="120" w:after="120"/>
        <w:jc w:val="center"/>
      </w:pPr>
      <w:r>
        <w:rPr>
          <w:color w:val="C8C8C8"/>
        </w:rPr>
        <w:t>―――――――――――――――――――――――――――――――――――――――――――――</w:t>
      </w:r>
    </w:p>
    <w:p>
      <w:pPr>
        <w:spacing w:before="280" w:after="80"/>
        <w:jc w:val="left"/>
      </w:pPr>
      <w:r>
        <w:rPr>
          <w:rFonts w:ascii="Arial" w:hAnsi="Arial"/>
          <w:b/>
          <w:color w:val="000000"/>
          <w:sz w:val="28"/>
        </w:rPr>
        <w:t>4. Fichas Técnicas Detalladas de cada Conexión</w:t>
      </w:r>
    </w:p>
    <w:p>
      <w:pPr>
        <w:spacing w:before="120" w:after="120"/>
        <w:jc w:val="center"/>
      </w:pPr>
      <w:r>
        <w:rPr>
          <w:color w:val="C8C8C8"/>
        </w:rPr>
        <w:t>―――――――――――――――――――――――――――――――――――――――――――――</w:t>
      </w:r>
    </w:p>
    <w:p>
      <w:pPr>
        <w:spacing w:before="240" w:after="80"/>
        <w:jc w:val="left"/>
      </w:pPr>
      <w:r>
        <w:rPr>
          <w:rFonts w:ascii="Arial" w:hAnsi="Arial"/>
          <w:b/>
          <w:color w:val="000000"/>
          <w:sz w:val="28"/>
        </w:rPr>
        <w:t>4.1 Conexión `gobernacion_valle`</w:t>
      </w:r>
    </w:p>
    <w:p>
      <w:pPr>
        <w:spacing w:line="276" w:lineRule="auto" w:before="20" w:after="60"/>
        <w:ind w:left="360"/>
        <w:jc w:val="both"/>
      </w:pPr>
      <w:r>
        <w:rPr>
          <w:rFonts w:ascii="Arial" w:hAnsi="Arial"/>
          <w:color w:val="000000"/>
          <w:sz w:val="24"/>
        </w:rPr>
        <w:t xml:space="preserve">•  </w:t>
      </w:r>
      <w:r>
        <w:rPr>
          <w:rFonts w:ascii="Arial" w:hAnsi="Arial"/>
          <w:b/>
          <w:color w:val="000000"/>
          <w:sz w:val="24"/>
        </w:rPr>
        <w:t>Connection ID:</w:t>
      </w:r>
      <w:r>
        <w:rPr>
          <w:rFonts w:ascii="Arial" w:hAnsi="Arial"/>
          <w:color w:val="000000"/>
          <w:sz w:val="24"/>
        </w:rPr>
        <w:t xml:space="preserve"> </w:t>
      </w:r>
      <w:r>
        <w:rPr>
          <w:rFonts w:ascii="Consolas" w:hAnsi="Consolas"/>
          <w:color w:val="C7254E"/>
          <w:sz w:val="20"/>
        </w:rPr>
        <w:t>gobernacion_valle</w:t>
      </w:r>
    </w:p>
    <w:p>
      <w:pPr>
        <w:spacing w:line="276" w:lineRule="auto" w:before="20" w:after="60"/>
        <w:ind w:left="360"/>
        <w:jc w:val="both"/>
      </w:pPr>
      <w:r>
        <w:rPr>
          <w:rFonts w:ascii="Arial" w:hAnsi="Arial"/>
          <w:color w:val="000000"/>
          <w:sz w:val="24"/>
        </w:rPr>
        <w:t xml:space="preserve">•  </w:t>
      </w:r>
      <w:r>
        <w:rPr>
          <w:rFonts w:ascii="Arial" w:hAnsi="Arial"/>
          <w:b/>
          <w:color w:val="000000"/>
          <w:sz w:val="24"/>
        </w:rPr>
        <w:t>Tipo de Conexión:</w:t>
      </w:r>
      <w:r>
        <w:rPr>
          <w:rFonts w:ascii="Arial" w:hAnsi="Arial"/>
          <w:color w:val="000000"/>
          <w:sz w:val="24"/>
        </w:rPr>
        <w:t xml:space="preserve"> </w:t>
      </w:r>
      <w:r>
        <w:rPr>
          <w:rFonts w:ascii="Consolas" w:hAnsi="Consolas"/>
          <w:color w:val="C7254E"/>
          <w:sz w:val="20"/>
        </w:rPr>
        <w:t>http</w:t>
      </w:r>
    </w:p>
    <w:p>
      <w:pPr>
        <w:spacing w:line="276" w:lineRule="auto" w:before="20" w:after="60"/>
        <w:ind w:left="360"/>
        <w:jc w:val="both"/>
      </w:pPr>
      <w:r>
        <w:rPr>
          <w:rFonts w:ascii="Arial" w:hAnsi="Arial"/>
          <w:color w:val="000000"/>
          <w:sz w:val="24"/>
        </w:rPr>
        <w:t xml:space="preserve">•  </w:t>
      </w:r>
      <w:r>
        <w:rPr>
          <w:rFonts w:ascii="Arial" w:hAnsi="Arial"/>
          <w:b/>
          <w:color w:val="000000"/>
          <w:sz w:val="24"/>
        </w:rPr>
        <w:t>Host Base:</w:t>
      </w:r>
      <w:r>
        <w:rPr>
          <w:rFonts w:ascii="Arial" w:hAnsi="Arial"/>
          <w:color w:val="000000"/>
          <w:sz w:val="24"/>
        </w:rPr>
        <w:t xml:space="preserve"> </w:t>
      </w:r>
      <w:r>
        <w:rPr>
          <w:rFonts w:ascii="Consolas" w:hAnsi="Consolas"/>
          <w:color w:val="C7254E"/>
          <w:sz w:val="20"/>
        </w:rPr>
        <w:t>https://datosabiertos.valledelcauca.gov.co</w:t>
      </w:r>
    </w:p>
    <w:p>
      <w:pPr>
        <w:spacing w:line="276" w:lineRule="auto" w:before="20" w:after="60"/>
        <w:ind w:left="360"/>
        <w:jc w:val="both"/>
      </w:pPr>
      <w:r>
        <w:rPr>
          <w:rFonts w:ascii="Arial" w:hAnsi="Arial"/>
          <w:color w:val="000000"/>
          <w:sz w:val="24"/>
        </w:rPr>
        <w:t xml:space="preserve">•  </w:t>
      </w:r>
      <w:r>
        <w:rPr>
          <w:rFonts w:ascii="Arial" w:hAnsi="Arial"/>
          <w:b/>
          <w:color w:val="000000"/>
          <w:sz w:val="24"/>
        </w:rPr>
        <w:t>Entidad Responsable:</w:t>
      </w:r>
      <w:r>
        <w:rPr>
          <w:rFonts w:ascii="Arial" w:hAnsi="Arial"/>
          <w:color w:val="000000"/>
          <w:sz w:val="24"/>
        </w:rPr>
        <w:t xml:space="preserve"> Gobernación del Valle del Cauca (Colombia) - Portal Oficial de Datos Abiertos.</w:t>
      </w:r>
    </w:p>
    <w:p>
      <w:pPr>
        <w:spacing w:line="276" w:lineRule="auto" w:before="20" w:after="60"/>
        <w:ind w:left="360"/>
        <w:jc w:val="both"/>
      </w:pPr>
      <w:r>
        <w:rPr>
          <w:rFonts w:ascii="Arial" w:hAnsi="Arial"/>
          <w:color w:val="000000"/>
          <w:sz w:val="24"/>
        </w:rPr>
        <w:t xml:space="preserve">•  </w:t>
      </w:r>
      <w:r>
        <w:rPr>
          <w:rFonts w:ascii="Arial" w:hAnsi="Arial"/>
          <w:b/>
          <w:color w:val="000000"/>
          <w:sz w:val="24"/>
        </w:rPr>
        <w:t>Protocolo y Seguridad:</w:t>
      </w:r>
      <w:r>
        <w:rPr>
          <w:rFonts w:ascii="Arial" w:hAnsi="Arial"/>
          <w:color w:val="000000"/>
          <w:sz w:val="24"/>
        </w:rPr>
        <w:t xml:space="preserve"> HTTPS (Puerto 443), Acceso público de lectura sin requerimiento de credenciales o API Key.</w:t>
      </w:r>
    </w:p>
    <w:p>
      <w:pPr>
        <w:spacing w:before="200" w:after="40"/>
        <w:jc w:val="left"/>
      </w:pPr>
      <w:r>
        <w:rPr>
          <w:rFonts w:ascii="Arial" w:hAnsi="Arial"/>
          <w:b/>
          <w:color w:val="000000"/>
          <w:sz w:val="28"/>
        </w:rPr>
        <w:t>Propósito Operativo y de Negocio</w:t>
      </w:r>
    </w:p>
    <w:p>
      <w:pPr>
        <w:spacing w:line="276" w:lineRule="auto" w:before="40" w:after="80"/>
        <w:jc w:val="both"/>
      </w:pPr>
      <w:r>
        <w:rPr>
          <w:rFonts w:ascii="Arial" w:hAnsi="Arial"/>
          <w:color w:val="000000"/>
          <w:sz w:val="24"/>
        </w:rPr>
        <w:t>Permite la extracción automatizada de los datasets de evaluación agropecuaria municipal en el departamento del Valle del Cauca. Esta conexión proporciona la base de datos de producción agrícola (superficie sembrada, cosechada y rendimiento en toneladas por hectárea).</w:t>
      </w:r>
    </w:p>
    <w:p>
      <w:pPr>
        <w:spacing w:before="120" w:after="120"/>
        <w:jc w:val="center"/>
      </w:pPr>
      <w:r>
        <w:rPr>
          <w:color w:val="C8C8C8"/>
        </w:rPr>
        <w:t>―――――――――――――――――――――――――――――――――――――――――――――</w:t>
      </w:r>
    </w:p>
    <w:p>
      <w:pPr>
        <w:spacing w:before="240" w:after="80"/>
        <w:jc w:val="left"/>
      </w:pPr>
      <w:r>
        <w:rPr>
          <w:rFonts w:ascii="Arial" w:hAnsi="Arial"/>
          <w:b/>
          <w:color w:val="000000"/>
          <w:sz w:val="28"/>
        </w:rPr>
        <w:t>4.2 Conexión `noaa_oni`</w:t>
      </w:r>
    </w:p>
    <w:p>
      <w:pPr>
        <w:spacing w:line="276" w:lineRule="auto" w:before="20" w:after="60"/>
        <w:ind w:left="360"/>
        <w:jc w:val="both"/>
      </w:pPr>
      <w:r>
        <w:rPr>
          <w:rFonts w:ascii="Arial" w:hAnsi="Arial"/>
          <w:color w:val="000000"/>
          <w:sz w:val="24"/>
        </w:rPr>
        <w:t xml:space="preserve">•  </w:t>
      </w:r>
      <w:r>
        <w:rPr>
          <w:rFonts w:ascii="Arial" w:hAnsi="Arial"/>
          <w:b/>
          <w:color w:val="000000"/>
          <w:sz w:val="24"/>
        </w:rPr>
        <w:t>Connection ID:</w:t>
      </w:r>
      <w:r>
        <w:rPr>
          <w:rFonts w:ascii="Arial" w:hAnsi="Arial"/>
          <w:color w:val="000000"/>
          <w:sz w:val="24"/>
        </w:rPr>
        <w:t xml:space="preserve"> </w:t>
      </w:r>
      <w:r>
        <w:rPr>
          <w:rFonts w:ascii="Consolas" w:hAnsi="Consolas"/>
          <w:color w:val="C7254E"/>
          <w:sz w:val="20"/>
        </w:rPr>
        <w:t>noaa_oni</w:t>
      </w:r>
    </w:p>
    <w:p>
      <w:pPr>
        <w:spacing w:line="276" w:lineRule="auto" w:before="20" w:after="60"/>
        <w:ind w:left="360"/>
        <w:jc w:val="both"/>
      </w:pPr>
      <w:r>
        <w:rPr>
          <w:rFonts w:ascii="Arial" w:hAnsi="Arial"/>
          <w:color w:val="000000"/>
          <w:sz w:val="24"/>
        </w:rPr>
        <w:t xml:space="preserve">•  </w:t>
      </w:r>
      <w:r>
        <w:rPr>
          <w:rFonts w:ascii="Arial" w:hAnsi="Arial"/>
          <w:b/>
          <w:color w:val="000000"/>
          <w:sz w:val="24"/>
        </w:rPr>
        <w:t>Tipo de Conexión:</w:t>
      </w:r>
      <w:r>
        <w:rPr>
          <w:rFonts w:ascii="Arial" w:hAnsi="Arial"/>
          <w:color w:val="000000"/>
          <w:sz w:val="24"/>
        </w:rPr>
        <w:t xml:space="preserve"> </w:t>
      </w:r>
      <w:r>
        <w:rPr>
          <w:rFonts w:ascii="Consolas" w:hAnsi="Consolas"/>
          <w:color w:val="C7254E"/>
          <w:sz w:val="20"/>
        </w:rPr>
        <w:t>http</w:t>
      </w:r>
    </w:p>
    <w:p>
      <w:pPr>
        <w:spacing w:line="276" w:lineRule="auto" w:before="20" w:after="60"/>
        <w:ind w:left="360"/>
        <w:jc w:val="both"/>
      </w:pPr>
      <w:r>
        <w:rPr>
          <w:rFonts w:ascii="Arial" w:hAnsi="Arial"/>
          <w:color w:val="000000"/>
          <w:sz w:val="24"/>
        </w:rPr>
        <w:t xml:space="preserve">•  </w:t>
      </w:r>
      <w:r>
        <w:rPr>
          <w:rFonts w:ascii="Arial" w:hAnsi="Arial"/>
          <w:b/>
          <w:color w:val="000000"/>
          <w:sz w:val="24"/>
        </w:rPr>
        <w:t>Host Base:</w:t>
      </w:r>
      <w:r>
        <w:rPr>
          <w:rFonts w:ascii="Arial" w:hAnsi="Arial"/>
          <w:color w:val="000000"/>
          <w:sz w:val="24"/>
        </w:rPr>
        <w:t xml:space="preserve"> </w:t>
      </w:r>
      <w:r>
        <w:rPr>
          <w:rFonts w:ascii="Consolas" w:hAnsi="Consolas"/>
          <w:color w:val="C7254E"/>
          <w:sz w:val="20"/>
        </w:rPr>
        <w:t>https://www.cpc.ncep.noaa.gov</w:t>
      </w:r>
    </w:p>
    <w:p>
      <w:pPr>
        <w:spacing w:line="276" w:lineRule="auto" w:before="20" w:after="60"/>
        <w:ind w:left="360"/>
        <w:jc w:val="both"/>
      </w:pPr>
      <w:r>
        <w:rPr>
          <w:rFonts w:ascii="Arial" w:hAnsi="Arial"/>
          <w:color w:val="000000"/>
          <w:sz w:val="24"/>
        </w:rPr>
        <w:t xml:space="preserve">•  </w:t>
      </w:r>
      <w:r>
        <w:rPr>
          <w:rFonts w:ascii="Arial" w:hAnsi="Arial"/>
          <w:b/>
          <w:color w:val="000000"/>
          <w:sz w:val="24"/>
        </w:rPr>
        <w:t>Entidad Responsable:</w:t>
      </w:r>
      <w:r>
        <w:rPr>
          <w:rFonts w:ascii="Arial" w:hAnsi="Arial"/>
          <w:color w:val="000000"/>
          <w:sz w:val="24"/>
        </w:rPr>
        <w:t xml:space="preserve"> National Oceanic and Atmospheric Administration (NOAA - EE.UU.) / Climate Prediction Center (CPC).</w:t>
      </w:r>
    </w:p>
    <w:p>
      <w:pPr>
        <w:spacing w:line="276" w:lineRule="auto" w:before="20" w:after="60"/>
        <w:ind w:left="360"/>
        <w:jc w:val="both"/>
      </w:pPr>
      <w:r>
        <w:rPr>
          <w:rFonts w:ascii="Arial" w:hAnsi="Arial"/>
          <w:color w:val="000000"/>
          <w:sz w:val="24"/>
        </w:rPr>
        <w:t xml:space="preserve">•  </w:t>
      </w:r>
      <w:r>
        <w:rPr>
          <w:rFonts w:ascii="Arial" w:hAnsi="Arial"/>
          <w:b/>
          <w:color w:val="000000"/>
          <w:sz w:val="24"/>
        </w:rPr>
        <w:t>Protocolo y Seguridad:</w:t>
      </w:r>
      <w:r>
        <w:rPr>
          <w:rFonts w:ascii="Arial" w:hAnsi="Arial"/>
          <w:color w:val="000000"/>
          <w:sz w:val="24"/>
        </w:rPr>
        <w:t xml:space="preserve"> HTTPS (Puerto 443), Acceso público con cabecera </w:t>
      </w:r>
      <w:r>
        <w:rPr>
          <w:rFonts w:ascii="Consolas" w:hAnsi="Consolas"/>
          <w:color w:val="C7254E"/>
          <w:sz w:val="20"/>
        </w:rPr>
        <w:t>User-Agent</w:t>
      </w:r>
      <w:r>
        <w:rPr>
          <w:rFonts w:ascii="Arial" w:hAnsi="Arial"/>
          <w:color w:val="000000"/>
          <w:sz w:val="24"/>
        </w:rPr>
        <w:t xml:space="preserve"> HTTP configurada.</w:t>
      </w:r>
    </w:p>
    <w:p>
      <w:pPr>
        <w:spacing w:before="200" w:after="40"/>
        <w:jc w:val="left"/>
      </w:pPr>
      <w:r>
        <w:rPr>
          <w:rFonts w:ascii="Arial" w:hAnsi="Arial"/>
          <w:b/>
          <w:color w:val="000000"/>
          <w:sz w:val="28"/>
        </w:rPr>
        <w:t>Propósito Operativo y de Negocio</w:t>
      </w:r>
    </w:p>
    <w:p>
      <w:pPr>
        <w:spacing w:line="276" w:lineRule="auto" w:before="40" w:after="80"/>
        <w:jc w:val="both"/>
      </w:pPr>
      <w:r>
        <w:rPr>
          <w:rFonts w:ascii="Arial" w:hAnsi="Arial"/>
          <w:color w:val="000000"/>
          <w:sz w:val="24"/>
        </w:rPr>
        <w:t xml:space="preserve">Permite la extracción de la tabla histórica del </w:t>
      </w:r>
      <w:r>
        <w:rPr>
          <w:rFonts w:ascii="Arial" w:hAnsi="Arial"/>
          <w:b/>
          <w:color w:val="000000"/>
          <w:sz w:val="24"/>
        </w:rPr>
        <w:t>Índice Oceánico del Niño (ONI v5)</w:t>
      </w:r>
      <w:r>
        <w:rPr>
          <w:rFonts w:ascii="Arial" w:hAnsi="Arial"/>
          <w:color w:val="000000"/>
          <w:sz w:val="24"/>
        </w:rPr>
        <w:t xml:space="preserve">. Este indicador mide las anomalías de temperatura superficial en el Océano Pacífico (Región Niño 3.4), permitiendo clasificar cuantitativamente los periodos bajo el fenómeno de </w:t>
      </w:r>
      <w:r>
        <w:rPr>
          <w:rFonts w:ascii="Arial" w:hAnsi="Arial"/>
          <w:b/>
          <w:color w:val="000000"/>
          <w:sz w:val="24"/>
        </w:rPr>
        <w:t>El Niño</w:t>
      </w:r>
      <w:r>
        <w:rPr>
          <w:rFonts w:ascii="Arial" w:hAnsi="Arial"/>
          <w:color w:val="000000"/>
          <w:sz w:val="24"/>
        </w:rPr>
        <w:t xml:space="preserve">, </w:t>
      </w:r>
      <w:r>
        <w:rPr>
          <w:rFonts w:ascii="Arial" w:hAnsi="Arial"/>
          <w:b/>
          <w:color w:val="000000"/>
          <w:sz w:val="24"/>
        </w:rPr>
        <w:t>La Niña</w:t>
      </w:r>
      <w:r>
        <w:rPr>
          <w:rFonts w:ascii="Arial" w:hAnsi="Arial"/>
          <w:color w:val="000000"/>
          <w:sz w:val="24"/>
        </w:rPr>
        <w:t xml:space="preserve"> o estado </w:t>
      </w:r>
      <w:r>
        <w:rPr>
          <w:rFonts w:ascii="Arial" w:hAnsi="Arial"/>
          <w:b/>
          <w:color w:val="000000"/>
          <w:sz w:val="24"/>
        </w:rPr>
        <w:t>Neutro</w:t>
      </w:r>
      <w:r>
        <w:rPr>
          <w:rFonts w:ascii="Arial" w:hAnsi="Arial"/>
          <w:color w:val="000000"/>
          <w:sz w:val="24"/>
        </w:rPr>
        <w:t>.</w:t>
      </w:r>
    </w:p>
    <w:p>
      <w:pPr>
        <w:spacing w:before="120" w:after="120"/>
        <w:jc w:val="center"/>
      </w:pPr>
      <w:r>
        <w:rPr>
          <w:color w:val="C8C8C8"/>
        </w:rPr>
        <w:t>―――――――――――――――――――――――――――――――――――――――――――――</w:t>
      </w:r>
    </w:p>
    <w:p>
      <w:pPr>
        <w:spacing w:before="240" w:after="80"/>
        <w:jc w:val="left"/>
      </w:pPr>
      <w:r>
        <w:rPr>
          <w:rFonts w:ascii="Arial" w:hAnsi="Arial"/>
          <w:b/>
          <w:color w:val="000000"/>
          <w:sz w:val="28"/>
        </w:rPr>
        <w:t>4.3 Conexión `sipsa_dane`</w:t>
      </w:r>
    </w:p>
    <w:p>
      <w:pPr>
        <w:spacing w:line="276" w:lineRule="auto" w:before="20" w:after="60"/>
        <w:ind w:left="360"/>
        <w:jc w:val="both"/>
      </w:pPr>
      <w:r>
        <w:rPr>
          <w:rFonts w:ascii="Arial" w:hAnsi="Arial"/>
          <w:color w:val="000000"/>
          <w:sz w:val="24"/>
        </w:rPr>
        <w:t xml:space="preserve">•  </w:t>
      </w:r>
      <w:r>
        <w:rPr>
          <w:rFonts w:ascii="Arial" w:hAnsi="Arial"/>
          <w:b/>
          <w:color w:val="000000"/>
          <w:sz w:val="24"/>
        </w:rPr>
        <w:t>Connection ID:</w:t>
      </w:r>
      <w:r>
        <w:rPr>
          <w:rFonts w:ascii="Arial" w:hAnsi="Arial"/>
          <w:color w:val="000000"/>
          <w:sz w:val="24"/>
        </w:rPr>
        <w:t xml:space="preserve"> </w:t>
      </w:r>
      <w:r>
        <w:rPr>
          <w:rFonts w:ascii="Consolas" w:hAnsi="Consolas"/>
          <w:color w:val="C7254E"/>
          <w:sz w:val="20"/>
        </w:rPr>
        <w:t>sipsa_dane</w:t>
      </w:r>
    </w:p>
    <w:p>
      <w:pPr>
        <w:spacing w:line="276" w:lineRule="auto" w:before="20" w:after="60"/>
        <w:ind w:left="360"/>
        <w:jc w:val="both"/>
      </w:pPr>
      <w:r>
        <w:rPr>
          <w:rFonts w:ascii="Arial" w:hAnsi="Arial"/>
          <w:color w:val="000000"/>
          <w:sz w:val="24"/>
        </w:rPr>
        <w:t xml:space="preserve">•  </w:t>
      </w:r>
      <w:r>
        <w:rPr>
          <w:rFonts w:ascii="Arial" w:hAnsi="Arial"/>
          <w:b/>
          <w:color w:val="000000"/>
          <w:sz w:val="24"/>
        </w:rPr>
        <w:t>Tipo de Conexión:</w:t>
      </w:r>
      <w:r>
        <w:rPr>
          <w:rFonts w:ascii="Arial" w:hAnsi="Arial"/>
          <w:color w:val="000000"/>
          <w:sz w:val="24"/>
        </w:rPr>
        <w:t xml:space="preserve"> </w:t>
      </w:r>
      <w:r>
        <w:rPr>
          <w:rFonts w:ascii="Consolas" w:hAnsi="Consolas"/>
          <w:color w:val="C7254E"/>
          <w:sz w:val="20"/>
        </w:rPr>
        <w:t>http</w:t>
      </w:r>
    </w:p>
    <w:p>
      <w:pPr>
        <w:spacing w:line="276" w:lineRule="auto" w:before="20" w:after="60"/>
        <w:ind w:left="360"/>
        <w:jc w:val="both"/>
      </w:pPr>
      <w:r>
        <w:rPr>
          <w:rFonts w:ascii="Arial" w:hAnsi="Arial"/>
          <w:color w:val="000000"/>
          <w:sz w:val="24"/>
        </w:rPr>
        <w:t xml:space="preserve">•  </w:t>
      </w:r>
      <w:r>
        <w:rPr>
          <w:rFonts w:ascii="Arial" w:hAnsi="Arial"/>
          <w:b/>
          <w:color w:val="000000"/>
          <w:sz w:val="24"/>
        </w:rPr>
        <w:t>Host Base:</w:t>
      </w:r>
      <w:r>
        <w:rPr>
          <w:rFonts w:ascii="Arial" w:hAnsi="Arial"/>
          <w:color w:val="000000"/>
          <w:sz w:val="24"/>
        </w:rPr>
        <w:t xml:space="preserve"> </w:t>
      </w:r>
      <w:r>
        <w:rPr>
          <w:rFonts w:ascii="Consolas" w:hAnsi="Consolas"/>
          <w:color w:val="C7254E"/>
          <w:sz w:val="20"/>
        </w:rPr>
        <w:t>https://www.dane.gov.co</w:t>
      </w:r>
    </w:p>
    <w:p>
      <w:pPr>
        <w:spacing w:line="276" w:lineRule="auto" w:before="20" w:after="60"/>
        <w:ind w:left="360"/>
        <w:jc w:val="both"/>
      </w:pPr>
      <w:r>
        <w:rPr>
          <w:rFonts w:ascii="Arial" w:hAnsi="Arial"/>
          <w:color w:val="000000"/>
          <w:sz w:val="24"/>
        </w:rPr>
        <w:t xml:space="preserve">•  </w:t>
      </w:r>
      <w:r>
        <w:rPr>
          <w:rFonts w:ascii="Arial" w:hAnsi="Arial"/>
          <w:b/>
          <w:color w:val="000000"/>
          <w:sz w:val="24"/>
        </w:rPr>
        <w:t>Entidad Responsable:</w:t>
      </w:r>
      <w:r>
        <w:rPr>
          <w:rFonts w:ascii="Arial" w:hAnsi="Arial"/>
          <w:color w:val="000000"/>
          <w:sz w:val="24"/>
        </w:rPr>
        <w:t xml:space="preserve"> Departamento Administrativo Nacional de Estadística (DANE - Colombia).</w:t>
      </w:r>
    </w:p>
    <w:p>
      <w:pPr>
        <w:spacing w:line="276" w:lineRule="auto" w:before="20" w:after="60"/>
        <w:ind w:left="360"/>
        <w:jc w:val="both"/>
      </w:pPr>
      <w:r>
        <w:rPr>
          <w:rFonts w:ascii="Arial" w:hAnsi="Arial"/>
          <w:color w:val="000000"/>
          <w:sz w:val="24"/>
        </w:rPr>
        <w:t xml:space="preserve">•  </w:t>
      </w:r>
      <w:r>
        <w:rPr>
          <w:rFonts w:ascii="Arial" w:hAnsi="Arial"/>
          <w:b/>
          <w:color w:val="000000"/>
          <w:sz w:val="24"/>
        </w:rPr>
        <w:t>Protocolo y Seguridad:</w:t>
      </w:r>
      <w:r>
        <w:rPr>
          <w:rFonts w:ascii="Arial" w:hAnsi="Arial"/>
          <w:color w:val="000000"/>
          <w:sz w:val="24"/>
        </w:rPr>
        <w:t xml:space="preserve"> HTTPS (Puerto 443), Acceso público para descarga de archivos binarios Excel (.xls / .xlsx).</w:t>
      </w:r>
    </w:p>
    <w:p>
      <w:pPr>
        <w:spacing w:before="200" w:after="40"/>
        <w:jc w:val="left"/>
      </w:pPr>
      <w:r>
        <w:rPr>
          <w:rFonts w:ascii="Arial" w:hAnsi="Arial"/>
          <w:b/>
          <w:color w:val="000000"/>
          <w:sz w:val="28"/>
        </w:rPr>
        <w:t>Propósito Operativo y de Negocio</w:t>
      </w:r>
    </w:p>
    <w:p>
      <w:pPr>
        <w:spacing w:line="276" w:lineRule="auto" w:before="40" w:after="80"/>
        <w:jc w:val="both"/>
      </w:pPr>
      <w:r>
        <w:rPr>
          <w:rFonts w:ascii="Arial" w:hAnsi="Arial"/>
          <w:color w:val="000000"/>
          <w:sz w:val="24"/>
        </w:rPr>
        <w:t>Suministra los precios mensuales mayoristas por kilogramo reportados en la Central de Abastos de Cali (Cavasa). Permite auditar la variación y comportamiento de precios de los alimentos en relación con los cultivos regionales y el clima.</w:t>
      </w:r>
    </w:p>
    <w:p>
      <w:pPr>
        <w:spacing w:before="120" w:after="120"/>
        <w:jc w:val="center"/>
      </w:pPr>
      <w:r>
        <w:rPr>
          <w:color w:val="C8C8C8"/>
        </w:rPr>
        <w:t>―――――――――――――――――――――――――――――――――――――――――――――</w:t>
      </w:r>
    </w:p>
    <w:p>
      <w:pPr>
        <w:spacing w:before="280" w:after="80"/>
        <w:jc w:val="left"/>
      </w:pPr>
      <w:r>
        <w:rPr>
          <w:rFonts w:ascii="Arial" w:hAnsi="Arial"/>
          <w:b/>
          <w:color w:val="000000"/>
          <w:sz w:val="28"/>
        </w:rPr>
        <w:t>5. Arquitectura de Comunicación y Resolución Dinámica</w:t>
      </w:r>
    </w:p>
    <w:p>
      <w:pPr>
        <w:spacing w:before="200" w:after="80"/>
        <w:jc w:val="center"/>
      </w:pPr>
      <w:r>
        <w:drawing>
          <wp:inline>
            <wp:extent cx="5120640" cy="1468419"/>
            <wp:docPr id="2" name="Picture 2"/>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5120640" cy="1468419"/>
                    </a:xfrm>
                    <a:prstGeom prst="rect"/>
                  </pic:spPr>
                </pic:pic>
              </a:graphicData>
            </a:graphic>
          </wp:inline>
        </w:drawing>
      </w:r>
    </w:p>
    <w:p>
      <w:pPr>
        <w:spacing w:after="240"/>
        <w:jc w:val="center"/>
      </w:pPr>
      <w:r>
        <w:rPr>
          <w:rFonts w:ascii="Arial" w:hAnsi="Arial"/>
          <w:i/>
          <w:color w:val="646464"/>
          <w:sz w:val="20"/>
        </w:rPr>
        <w:t>Diagrama de Flujo / Estructura del Sistema</w:t>
      </w:r>
    </w:p>
    <w:p>
      <w:pPr>
        <w:spacing w:before="120" w:after="120"/>
        <w:jc w:val="center"/>
      </w:pPr>
      <w:r>
        <w:rPr>
          <w:color w:val="C8C8C8"/>
        </w:rPr>
        <w:t>―――――――――――――――――――――――――――――――――――――――――――――</w:t>
      </w:r>
    </w:p>
    <w:p>
      <w:pPr>
        <w:spacing w:before="280" w:after="80"/>
        <w:jc w:val="left"/>
      </w:pPr>
      <w:r>
        <w:rPr>
          <w:rFonts w:ascii="Arial" w:hAnsi="Arial"/>
          <w:b/>
          <w:color w:val="000000"/>
          <w:sz w:val="28"/>
        </w:rPr>
        <w:t>6. Guía de Administración y Mantenimiento</w:t>
      </w:r>
    </w:p>
    <w:p>
      <w:pPr>
        <w:spacing w:before="240" w:after="80"/>
        <w:jc w:val="left"/>
      </w:pPr>
      <w:r>
        <w:rPr>
          <w:rFonts w:ascii="Arial" w:hAnsi="Arial"/>
          <w:b/>
          <w:color w:val="000000"/>
          <w:sz w:val="28"/>
        </w:rPr>
        <w:t>Crear o Editar Conexiones en la UI de Airflow</w:t>
      </w:r>
    </w:p>
    <w:p>
      <w:pPr>
        <w:spacing w:line="276" w:lineRule="auto" w:before="20" w:after="60"/>
        <w:ind w:left="360"/>
        <w:jc w:val="both"/>
      </w:pPr>
      <w:r>
        <w:rPr>
          <w:rFonts w:ascii="Arial" w:hAnsi="Arial"/>
          <w:color w:val="000000"/>
          <w:sz w:val="24"/>
        </w:rPr>
        <w:t>1. Ingresa a la consola de Airflow (</w:t>
      </w:r>
      <w:r>
        <w:rPr>
          <w:rFonts w:ascii="Consolas" w:hAnsi="Consolas"/>
          <w:color w:val="C7254E"/>
          <w:sz w:val="20"/>
        </w:rPr>
        <w:t>http://airflow.localhost:6563</w:t>
      </w:r>
      <w:r>
        <w:rPr>
          <w:rFonts w:ascii="Arial" w:hAnsi="Arial"/>
          <w:color w:val="000000"/>
          <w:sz w:val="24"/>
        </w:rPr>
        <w:t>).</w:t>
      </w:r>
    </w:p>
    <w:p>
      <w:pPr>
        <w:spacing w:line="276" w:lineRule="auto" w:before="20" w:after="60"/>
        <w:ind w:left="360"/>
        <w:jc w:val="both"/>
      </w:pPr>
      <w:r>
        <w:rPr>
          <w:rFonts w:ascii="Arial" w:hAnsi="Arial"/>
          <w:color w:val="000000"/>
          <w:sz w:val="24"/>
        </w:rPr>
        <w:t xml:space="preserve">2. Ve al menú </w:t>
      </w:r>
      <w:r>
        <w:rPr>
          <w:rFonts w:ascii="Arial" w:hAnsi="Arial"/>
          <w:b/>
          <w:color w:val="000000"/>
          <w:sz w:val="24"/>
        </w:rPr>
        <w:t>Admin</w:t>
      </w:r>
      <w:r>
        <w:rPr>
          <w:rFonts w:ascii="Arial" w:hAnsi="Arial"/>
          <w:color w:val="000000"/>
          <w:sz w:val="24"/>
        </w:rPr>
        <w:t xml:space="preserve"> -&gt; </w:t>
      </w:r>
      <w:r>
        <w:rPr>
          <w:rFonts w:ascii="Arial" w:hAnsi="Arial"/>
          <w:b/>
          <w:color w:val="000000"/>
          <w:sz w:val="24"/>
        </w:rPr>
        <w:t>Connections</w:t>
      </w:r>
      <w:r>
        <w:rPr>
          <w:rFonts w:ascii="Arial" w:hAnsi="Arial"/>
          <w:color w:val="000000"/>
          <w:sz w:val="24"/>
        </w:rPr>
        <w:t>.</w:t>
      </w:r>
    </w:p>
    <w:p>
      <w:pPr>
        <w:spacing w:line="276" w:lineRule="auto" w:before="20" w:after="60"/>
        <w:ind w:left="360"/>
        <w:jc w:val="both"/>
      </w:pPr>
      <w:r>
        <w:rPr>
          <w:rFonts w:ascii="Arial" w:hAnsi="Arial"/>
          <w:color w:val="000000"/>
          <w:sz w:val="24"/>
        </w:rPr>
        <w:t xml:space="preserve">3. Haz clic en el botón azul </w:t>
      </w:r>
      <w:r>
        <w:rPr>
          <w:rFonts w:ascii="Arial" w:hAnsi="Arial"/>
          <w:b/>
          <w:color w:val="000000"/>
          <w:sz w:val="24"/>
        </w:rPr>
        <w:t>+ Add Connection</w:t>
      </w:r>
      <w:r>
        <w:rPr>
          <w:rFonts w:ascii="Arial" w:hAnsi="Arial"/>
          <w:color w:val="000000"/>
          <w:sz w:val="24"/>
        </w:rPr>
        <w:t>.</w:t>
      </w:r>
    </w:p>
    <w:p>
      <w:pPr>
        <w:spacing w:line="276" w:lineRule="auto" w:before="20" w:after="60"/>
        <w:ind w:left="360"/>
        <w:jc w:val="both"/>
      </w:pPr>
      <w:r>
        <w:rPr>
          <w:rFonts w:ascii="Arial" w:hAnsi="Arial"/>
          <w:color w:val="000000"/>
          <w:sz w:val="24"/>
        </w:rPr>
        <w:t>4. Diligencia los campos:</w:t>
      </w:r>
    </w:p>
    <w:p>
      <w:pPr>
        <w:spacing w:line="276" w:lineRule="auto" w:before="20" w:after="60"/>
        <w:ind w:left="360"/>
        <w:jc w:val="both"/>
      </w:pPr>
      <w:r>
        <w:rPr>
          <w:rFonts w:ascii="Arial" w:hAnsi="Arial"/>
          <w:color w:val="000000"/>
          <w:sz w:val="24"/>
        </w:rPr>
        <w:t xml:space="preserve">•  </w:t>
      </w:r>
      <w:r>
        <w:rPr>
          <w:rFonts w:ascii="Arial" w:hAnsi="Arial"/>
          <w:b/>
          <w:color w:val="000000"/>
          <w:sz w:val="24"/>
        </w:rPr>
        <w:t>Connection Id:</w:t>
      </w:r>
      <w:r>
        <w:rPr>
          <w:rFonts w:ascii="Arial" w:hAnsi="Arial"/>
          <w:color w:val="000000"/>
          <w:sz w:val="24"/>
        </w:rPr>
        <w:t xml:space="preserve"> </w:t>
      </w:r>
      <w:r>
        <w:rPr>
          <w:rFonts w:ascii="Consolas" w:hAnsi="Consolas"/>
          <w:color w:val="C7254E"/>
          <w:sz w:val="20"/>
        </w:rPr>
        <w:t>gobernacion_valle</w:t>
      </w:r>
      <w:r>
        <w:rPr>
          <w:rFonts w:ascii="Arial" w:hAnsi="Arial"/>
          <w:color w:val="000000"/>
          <w:sz w:val="24"/>
        </w:rPr>
        <w:t xml:space="preserve"> / </w:t>
      </w:r>
      <w:r>
        <w:rPr>
          <w:rFonts w:ascii="Consolas" w:hAnsi="Consolas"/>
          <w:color w:val="C7254E"/>
          <w:sz w:val="20"/>
        </w:rPr>
        <w:t>noaa_oni</w:t>
      </w:r>
      <w:r>
        <w:rPr>
          <w:rFonts w:ascii="Arial" w:hAnsi="Arial"/>
          <w:color w:val="000000"/>
          <w:sz w:val="24"/>
        </w:rPr>
        <w:t xml:space="preserve"> / </w:t>
      </w:r>
      <w:r>
        <w:rPr>
          <w:rFonts w:ascii="Consolas" w:hAnsi="Consolas"/>
          <w:color w:val="C7254E"/>
          <w:sz w:val="20"/>
        </w:rPr>
        <w:t>sipsa_dane</w:t>
      </w:r>
    </w:p>
    <w:p>
      <w:pPr>
        <w:spacing w:line="276" w:lineRule="auto" w:before="20" w:after="60"/>
        <w:ind w:left="360"/>
        <w:jc w:val="both"/>
      </w:pPr>
      <w:r>
        <w:rPr>
          <w:rFonts w:ascii="Arial" w:hAnsi="Arial"/>
          <w:color w:val="000000"/>
          <w:sz w:val="24"/>
        </w:rPr>
        <w:t xml:space="preserve">•  </w:t>
      </w:r>
      <w:r>
        <w:rPr>
          <w:rFonts w:ascii="Arial" w:hAnsi="Arial"/>
          <w:b/>
          <w:color w:val="000000"/>
          <w:sz w:val="24"/>
        </w:rPr>
        <w:t>Connection Type:</w:t>
      </w:r>
      <w:r>
        <w:rPr>
          <w:rFonts w:ascii="Arial" w:hAnsi="Arial"/>
          <w:color w:val="000000"/>
          <w:sz w:val="24"/>
        </w:rPr>
        <w:t xml:space="preserve"> </w:t>
      </w:r>
      <w:r>
        <w:rPr>
          <w:rFonts w:ascii="Consolas" w:hAnsi="Consolas"/>
          <w:color w:val="C7254E"/>
          <w:sz w:val="20"/>
        </w:rPr>
        <w:t>HTTP</w:t>
      </w:r>
    </w:p>
    <w:p>
      <w:pPr>
        <w:spacing w:line="276" w:lineRule="auto" w:before="20" w:after="60"/>
        <w:ind w:left="360"/>
        <w:jc w:val="both"/>
      </w:pPr>
      <w:r>
        <w:rPr>
          <w:rFonts w:ascii="Arial" w:hAnsi="Arial"/>
          <w:color w:val="000000"/>
          <w:sz w:val="24"/>
        </w:rPr>
        <w:t xml:space="preserve">•  </w:t>
      </w:r>
      <w:r>
        <w:rPr>
          <w:rFonts w:ascii="Arial" w:hAnsi="Arial"/>
          <w:b/>
          <w:color w:val="000000"/>
          <w:sz w:val="24"/>
        </w:rPr>
        <w:t>Host:</w:t>
      </w:r>
      <w:r>
        <w:rPr>
          <w:rFonts w:ascii="Arial" w:hAnsi="Arial"/>
          <w:color w:val="000000"/>
          <w:sz w:val="24"/>
        </w:rPr>
        <w:t xml:space="preserve"> La URL base correspondiente (ej. </w:t>
      </w:r>
      <w:r>
        <w:rPr>
          <w:rFonts w:ascii="Consolas" w:hAnsi="Consolas"/>
          <w:color w:val="C7254E"/>
          <w:sz w:val="20"/>
        </w:rPr>
        <w:t>https://www.dane.gov.co</w:t>
      </w:r>
      <w:r>
        <w:rPr>
          <w:rFonts w:ascii="Arial" w:hAnsi="Arial"/>
          <w:color w:val="000000"/>
          <w:sz w:val="24"/>
        </w:rPr>
        <w:t>)</w:t>
      </w:r>
    </w:p>
    <w:p>
      <w:pPr>
        <w:spacing w:line="276" w:lineRule="auto" w:before="20" w:after="60"/>
        <w:ind w:left="360"/>
        <w:jc w:val="both"/>
      </w:pPr>
      <w:r>
        <w:rPr>
          <w:rFonts w:ascii="Arial" w:hAnsi="Arial"/>
          <w:color w:val="000000"/>
          <w:sz w:val="24"/>
        </w:rPr>
        <w:t xml:space="preserve">5. Haz clic en </w:t>
      </w:r>
      <w:r>
        <w:rPr>
          <w:rFonts w:ascii="Arial" w:hAnsi="Arial"/>
          <w:b/>
          <w:color w:val="000000"/>
          <w:sz w:val="24"/>
        </w:rPr>
        <w:t>Save</w:t>
      </w:r>
      <w:r>
        <w:rPr>
          <w:rFonts w:ascii="Arial" w:hAnsi="Arial"/>
          <w:color w:val="000000"/>
          <w:sz w:val="24"/>
        </w:rPr>
        <w:t>.</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pict>
        <v:shape id="WordPictureWatermark1" style="position:absolute;width:597.75pt;height:846.75pt;rotation:0;z-index:-503316481;mso-position-horizontal-relative:margin;mso-position-horizontal:absolute;margin-left:-75.375pt;mso-position-vertical-relative:margin;mso-position-vertical:absolute;margin-top:-72.375pt;" alt="" type="#_x0000_t75">
          <v:imagedata cropbottom="0f" cropleft="0f" cropright="0f" croptop="0f" r:id="rId1" o:title="image1.jpg"/>
        </v:shape>
      </w:pict>
    </w:r>
    <w:r w:rsidDel="00000000" w:rsidR="00000000" w:rsidRPr="00000000">
      <w:rPr>
        <w:rtl w:val="0"/>
      </w:rPr>
    </w:r>
  </w:p>
  <w:p w:rsidR="00000000" w:rsidDel="00000000" w:rsidP="00000000" w:rsidRDefault="00000000" w:rsidRPr="00000000" w14:paraId="00000003">
    <w:pPr>
      <w:ind w:left="-1417.3228346456694"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olor w:val="000000"/>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