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DC39C0" w14:paraId="5816B082" w14:textId="77777777" w:rsidTr="00DC39C0">
        <w:tc>
          <w:tcPr>
            <w:tcW w:w="5000" w:type="pct"/>
            <w:shd w:val="clear" w:color="auto" w:fill="3366FF"/>
          </w:tcPr>
          <w:p w14:paraId="4AB9E1C2" w14:textId="77777777" w:rsidR="003271FC" w:rsidRPr="008C33D2" w:rsidRDefault="003C36BA" w:rsidP="00F7010E">
            <w:pPr>
              <w:pStyle w:val="Kop1"/>
            </w:pPr>
            <w:r>
              <w:t xml:space="preserve">Circle Language Spec: </w:t>
            </w:r>
            <w:r w:rsidR="00891A4A">
              <w:t>Modules</w:t>
            </w:r>
          </w:p>
        </w:tc>
      </w:tr>
    </w:tbl>
    <w:p w14:paraId="797E4DAE" w14:textId="77777777" w:rsidR="000F652F" w:rsidRDefault="00891A4A" w:rsidP="003271FC">
      <w:pPr>
        <w:pStyle w:val="Kop2"/>
      </w:pPr>
      <w:r>
        <w:t>Module</w:t>
      </w:r>
      <w:r w:rsidR="000745ED">
        <w:t>s</w:t>
      </w:r>
    </w:p>
    <w:p w14:paraId="7D76FFF9" w14:textId="77777777" w:rsidR="008C25AF" w:rsidRPr="008C25AF" w:rsidRDefault="008C25AF" w:rsidP="008C25AF">
      <w:pPr>
        <w:pStyle w:val="Kop3"/>
      </w:pPr>
      <w:r>
        <w:t>Concept</w:t>
      </w:r>
    </w:p>
    <w:p w14:paraId="5946E5B9" w14:textId="77777777" w:rsidR="00B37086" w:rsidRDefault="00B37086" w:rsidP="00E8670E">
      <w:r>
        <w:t xml:space="preserve">A </w:t>
      </w:r>
      <w:r w:rsidR="000745ED">
        <w:t>module</w:t>
      </w:r>
      <w:r>
        <w:t xml:space="preserve"> is like a little world in which objects and </w:t>
      </w:r>
      <w:r w:rsidR="00926221">
        <w:t xml:space="preserve">commands </w:t>
      </w:r>
      <w:r>
        <w:t xml:space="preserve">live. A </w:t>
      </w:r>
      <w:r w:rsidR="000745ED">
        <w:t>module</w:t>
      </w:r>
      <w:r>
        <w:t xml:space="preserve"> can be a site, a computer program, a l</w:t>
      </w:r>
      <w:r w:rsidR="001D2DA8">
        <w:t xml:space="preserve">ibrary or other kind of module. </w:t>
      </w:r>
      <w:r>
        <w:t xml:space="preserve">A </w:t>
      </w:r>
      <w:r w:rsidR="000745ED">
        <w:t>module</w:t>
      </w:r>
      <w:r>
        <w:t xml:space="preserve"> groups together functionality</w:t>
      </w:r>
      <w:r w:rsidR="001D2DA8">
        <w:t xml:space="preserve"> or data</w:t>
      </w:r>
      <w:r>
        <w:t>.</w:t>
      </w:r>
    </w:p>
    <w:p w14:paraId="0FE7C433" w14:textId="77777777" w:rsidR="00B37086" w:rsidRDefault="00B37086" w:rsidP="00B37086">
      <w:pPr>
        <w:pStyle w:val="Spacing"/>
      </w:pPr>
    </w:p>
    <w:p w14:paraId="495E91C6" w14:textId="504E3826" w:rsidR="0055273D" w:rsidRDefault="00B37086" w:rsidP="0055273D">
      <w:r>
        <w:t xml:space="preserve">A </w:t>
      </w:r>
      <w:r w:rsidR="000745ED">
        <w:t>module</w:t>
      </w:r>
      <w:r>
        <w:t xml:space="preserve"> is an object with </w:t>
      </w:r>
      <w:r w:rsidR="0055273D">
        <w:t>a special property</w:t>
      </w:r>
      <w:r>
        <w:t>.</w:t>
      </w:r>
      <w:r w:rsidR="0055273D">
        <w:t xml:space="preserve"> Anything directly inside the </w:t>
      </w:r>
      <w:r w:rsidR="000745ED">
        <w:t>module</w:t>
      </w:r>
      <w:r w:rsidR="0055273D">
        <w:t xml:space="preserve"> can be directly referenced from anywhere within the </w:t>
      </w:r>
      <w:r w:rsidR="000745ED">
        <w:t>module</w:t>
      </w:r>
      <w:r w:rsidR="0055273D">
        <w:t xml:space="preserve">. That is the basic principle. However, you don’t have to make everything directly inside the </w:t>
      </w:r>
      <w:r w:rsidR="000745ED">
        <w:t>module</w:t>
      </w:r>
      <w:r w:rsidR="0055273D">
        <w:t xml:space="preserve"> accessible globally; you have to </w:t>
      </w:r>
      <w:r w:rsidR="001D2DA8">
        <w:t xml:space="preserve">actively </w:t>
      </w:r>
      <w:r w:rsidR="0055273D">
        <w:t>declare them as being globally accessible. I</w:t>
      </w:r>
      <w:r w:rsidR="0055273D" w:rsidRPr="00E33EA0">
        <w:t xml:space="preserve">f </w:t>
      </w:r>
      <w:r w:rsidR="0055273D">
        <w:t xml:space="preserve">members of a </w:t>
      </w:r>
      <w:r w:rsidR="000745ED">
        <w:t>module</w:t>
      </w:r>
      <w:r w:rsidR="0055273D">
        <w:t xml:space="preserve"> </w:t>
      </w:r>
      <w:r w:rsidR="0055273D" w:rsidRPr="00E33EA0">
        <w:t>are just publicly accessible, they are not globally accessible, they are just acc</w:t>
      </w:r>
      <w:r w:rsidR="0055273D">
        <w:t xml:space="preserve">essible as members of an object, and not accessible from anywhere within the </w:t>
      </w:r>
      <w:r w:rsidR="000745ED">
        <w:t>module</w:t>
      </w:r>
      <w:r w:rsidR="0055273D">
        <w:t xml:space="preserve">. It’s also not entirely true, that everything inside the </w:t>
      </w:r>
      <w:r w:rsidR="000745ED">
        <w:t>module</w:t>
      </w:r>
      <w:r w:rsidR="0055273D">
        <w:t xml:space="preserve"> can access the global members. You can only access global member from members, whose fixed logical residence is inside the </w:t>
      </w:r>
      <w:r w:rsidR="000745ED">
        <w:t>module</w:t>
      </w:r>
      <w:r w:rsidR="0055273D">
        <w:t xml:space="preserve">. So global things can only be directly accessed from definitions, whose fixed logical residence is inside the </w:t>
      </w:r>
      <w:r w:rsidR="000745ED">
        <w:t>module</w:t>
      </w:r>
      <w:r w:rsidR="0055273D">
        <w:t xml:space="preserve">. Things </w:t>
      </w:r>
      <w:r w:rsidR="0055273D" w:rsidRPr="00E33EA0">
        <w:rPr>
          <w:i/>
        </w:rPr>
        <w:t xml:space="preserve">referenced </w:t>
      </w:r>
      <w:r w:rsidR="0055273D">
        <w:t xml:space="preserve">inside the </w:t>
      </w:r>
      <w:r w:rsidR="000745ED">
        <w:t>module</w:t>
      </w:r>
      <w:r w:rsidR="0055273D">
        <w:t>, whose definition is elsewhere, can not access the global members.</w:t>
      </w:r>
    </w:p>
    <w:p w14:paraId="4C0B2A14" w14:textId="77777777" w:rsidR="0055273D" w:rsidRDefault="0055273D" w:rsidP="0055273D">
      <w:pPr>
        <w:pStyle w:val="Spacing"/>
      </w:pPr>
    </w:p>
    <w:p w14:paraId="635A103D" w14:textId="77777777" w:rsidR="0055273D" w:rsidRDefault="0055273D" w:rsidP="0055273D">
      <w:r>
        <w:t xml:space="preserve">You can reference a </w:t>
      </w:r>
      <w:r w:rsidR="000745ED">
        <w:t>module</w:t>
      </w:r>
      <w:r>
        <w:t xml:space="preserve"> like referencing an object. In that case it behaves like a normal object reference.</w:t>
      </w:r>
    </w:p>
    <w:p w14:paraId="112DDF3C" w14:textId="77777777" w:rsidR="0055273D" w:rsidRDefault="0055273D" w:rsidP="0055273D">
      <w:pPr>
        <w:pStyle w:val="Spacing"/>
      </w:pPr>
    </w:p>
    <w:p w14:paraId="27D9C9EE" w14:textId="77777777" w:rsidR="0055273D" w:rsidRDefault="0055273D" w:rsidP="0055273D">
      <w:r>
        <w:t xml:space="preserve">You can also reference a </w:t>
      </w:r>
      <w:r w:rsidR="000745ED">
        <w:t>module</w:t>
      </w:r>
      <w:r>
        <w:t xml:space="preserve"> directly from within another </w:t>
      </w:r>
      <w:r w:rsidR="000745ED">
        <w:t>module</w:t>
      </w:r>
      <w:r>
        <w:t xml:space="preserve">. In that case, one </w:t>
      </w:r>
      <w:r w:rsidR="000745ED">
        <w:t>module</w:t>
      </w:r>
      <w:r>
        <w:t xml:space="preserve"> has a reference to another: one module has a reference to another module. Everything of the referenced module is now globally accessible from anywhere within the other module.</w:t>
      </w:r>
    </w:p>
    <w:p w14:paraId="69246DB9" w14:textId="77777777" w:rsidR="0055273D" w:rsidRDefault="0055273D" w:rsidP="0055273D">
      <w:pPr>
        <w:pStyle w:val="Spacing"/>
      </w:pPr>
    </w:p>
    <w:p w14:paraId="3592503D" w14:textId="3382F654" w:rsidR="0055273D" w:rsidRDefault="0055273D" w:rsidP="0055273D">
      <w:r>
        <w:t xml:space="preserve">You don’t need to let </w:t>
      </w:r>
      <w:r w:rsidR="009A4EBD">
        <w:t>modules</w:t>
      </w:r>
      <w:r>
        <w:t xml:space="preserve"> refer to each</w:t>
      </w:r>
      <w:r w:rsidR="004367E6">
        <w:t xml:space="preserve"> </w:t>
      </w:r>
      <w:r>
        <w:t>other, to actually let one module use something from another module: one module can always access anything inside another module, whether it has a reference to it or not. A reference however, makes global things from one module, globally accessible inside another module.</w:t>
      </w:r>
    </w:p>
    <w:p w14:paraId="491CFB91" w14:textId="77777777" w:rsidR="008C25AF" w:rsidRDefault="008C25AF" w:rsidP="008C25AF">
      <w:pPr>
        <w:pStyle w:val="Kop3"/>
      </w:pPr>
      <w:r>
        <w:t>In a Diagram</w:t>
      </w:r>
    </w:p>
    <w:p w14:paraId="77EBC77C" w14:textId="77777777" w:rsidR="008C25AF" w:rsidRDefault="008C25AF" w:rsidP="008C25AF">
      <w:r>
        <w:t xml:space="preserve">The principle of </w:t>
      </w:r>
      <w:r w:rsidR="000745ED">
        <w:t>module</w:t>
      </w:r>
      <w:r>
        <w:t xml:space="preserve"> is explained in the article </w:t>
      </w:r>
      <w:r w:rsidR="00996EEF">
        <w:rPr>
          <w:i/>
        </w:rPr>
        <w:t>Module</w:t>
      </w:r>
      <w:r>
        <w:t>. This article demonstrates its expression in a diagram.</w:t>
      </w:r>
    </w:p>
    <w:p w14:paraId="2B50C9C6" w14:textId="77777777" w:rsidR="008C25AF" w:rsidRDefault="008C25AF" w:rsidP="008C25AF">
      <w:pPr>
        <w:pStyle w:val="Spacing"/>
      </w:pPr>
    </w:p>
    <w:p w14:paraId="55596FCB" w14:textId="0B2F4410" w:rsidR="008C25AF" w:rsidRDefault="008C25AF" w:rsidP="008C25AF">
      <w:r>
        <w:t xml:space="preserve">A </w:t>
      </w:r>
      <w:r w:rsidR="000745ED">
        <w:t>module</w:t>
      </w:r>
      <w:r>
        <w:t xml:space="preserve"> is displayed as a pentagon shape</w:t>
      </w:r>
      <w:r w:rsidR="00344F8E">
        <w:t>:</w:t>
      </w:r>
    </w:p>
    <w:p w14:paraId="6322A7CB" w14:textId="77777777" w:rsidR="008C25AF" w:rsidRDefault="008C25AF" w:rsidP="008C25AF">
      <w:pPr>
        <w:pStyle w:val="Spacing"/>
      </w:pPr>
    </w:p>
    <w:p w14:paraId="438C09E9" w14:textId="77777777" w:rsidR="008C25AF" w:rsidRDefault="001B5B37" w:rsidP="008C25AF">
      <w:pPr>
        <w:ind w:left="852"/>
      </w:pPr>
      <w:r w:rsidRPr="000F6E66">
        <w:rPr>
          <w:noProof/>
        </w:rPr>
        <w:drawing>
          <wp:inline distT="0" distB="0" distL="0" distR="0" wp14:anchorId="7093E4FB" wp14:editId="74C45B21">
            <wp:extent cx="370205" cy="34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1073" w14:textId="77777777" w:rsidR="008C25AF" w:rsidRDefault="008C25AF" w:rsidP="008C25AF">
      <w:pPr>
        <w:pStyle w:val="Spacing"/>
      </w:pPr>
    </w:p>
    <w:p w14:paraId="3634FFB1" w14:textId="77777777" w:rsidR="008C25AF" w:rsidRDefault="008C25AF" w:rsidP="008C25AF">
      <w:r>
        <w:t>Objects and commands can be placed inside the pentagon.</w:t>
      </w:r>
    </w:p>
    <w:p w14:paraId="2A420324" w14:textId="77777777" w:rsidR="008C25AF" w:rsidRDefault="008C25AF" w:rsidP="008C25AF">
      <w:pPr>
        <w:pStyle w:val="Spacing"/>
      </w:pPr>
    </w:p>
    <w:p w14:paraId="417F4DC0" w14:textId="77777777" w:rsidR="008C25AF" w:rsidRDefault="001B5B37" w:rsidP="008C25AF">
      <w:pPr>
        <w:pStyle w:val="Spacing"/>
        <w:ind w:left="852"/>
      </w:pPr>
      <w:r w:rsidRPr="006A7F78">
        <w:rPr>
          <w:noProof/>
        </w:rPr>
        <w:drawing>
          <wp:inline distT="0" distB="0" distL="0" distR="0" wp14:anchorId="2BE8FB33" wp14:editId="23F990E5">
            <wp:extent cx="1047750" cy="111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9824" w14:textId="77777777" w:rsidR="008C25AF" w:rsidRDefault="008C25AF" w:rsidP="008C25AF">
      <w:pPr>
        <w:pStyle w:val="Spacing"/>
      </w:pPr>
    </w:p>
    <w:p w14:paraId="02976B4F" w14:textId="77777777" w:rsidR="008C25AF" w:rsidRDefault="008C25AF" w:rsidP="008C25AF">
      <w:r>
        <w:t>Access to global members happens in the diagram in the following way.</w:t>
      </w:r>
    </w:p>
    <w:p w14:paraId="05FC5B18" w14:textId="77777777" w:rsidR="008C25AF" w:rsidRDefault="008C25AF" w:rsidP="008C25AF">
      <w:pPr>
        <w:pStyle w:val="Spacing"/>
      </w:pPr>
    </w:p>
    <w:p w14:paraId="3D3F4D56" w14:textId="77777777" w:rsidR="008C25AF" w:rsidRDefault="008C25AF" w:rsidP="008C25AF">
      <w:r>
        <w:t xml:space="preserve">Definitions anywhere within the </w:t>
      </w:r>
      <w:r w:rsidR="000745ED">
        <w:t>module</w:t>
      </w:r>
      <w:r>
        <w:t xml:space="preserve"> can access anything declared global. To make reference lines to global members more overviewable, imaginary intermediate references to the </w:t>
      </w:r>
      <w:r w:rsidR="000745ED">
        <w:t>module</w:t>
      </w:r>
      <w:r>
        <w:t xml:space="preserve"> are added to all the mutual parents from which global things are accessed. See the article </w:t>
      </w:r>
      <w:r w:rsidRPr="008339A7">
        <w:rPr>
          <w:i/>
        </w:rPr>
        <w:t xml:space="preserve">Automatic Containment </w:t>
      </w:r>
      <w:r>
        <w:t>for information about imaginary references and mutual parents.</w:t>
      </w:r>
    </w:p>
    <w:p w14:paraId="4086ADC1" w14:textId="77777777" w:rsidR="008C25AF" w:rsidRDefault="008C25AF" w:rsidP="008C25AF">
      <w:pPr>
        <w:pStyle w:val="Spacing"/>
      </w:pPr>
    </w:p>
    <w:p w14:paraId="09C4A7A6" w14:textId="77777777" w:rsidR="008C25AF" w:rsidRDefault="008C25AF" w:rsidP="008C25AF">
      <w:r>
        <w:t xml:space="preserve">The </w:t>
      </w:r>
      <w:r w:rsidR="000745ED">
        <w:t>module</w:t>
      </w:r>
      <w:r>
        <w:t xml:space="preserve"> itself might not be in sight, when you are zoomed in on </w:t>
      </w:r>
      <w:r w:rsidRPr="009A0CFD">
        <w:rPr>
          <w:i/>
        </w:rPr>
        <w:t xml:space="preserve">part </w:t>
      </w:r>
      <w:r>
        <w:t xml:space="preserve">of the </w:t>
      </w:r>
      <w:r w:rsidR="000745ED">
        <w:t>module</w:t>
      </w:r>
      <w:r>
        <w:t xml:space="preserve">. The solution is, that an imaginary reference to the </w:t>
      </w:r>
      <w:r w:rsidR="000745ED">
        <w:t>module</w:t>
      </w:r>
      <w:r>
        <w:t xml:space="preserve"> is always displayed at the highest visible level of containment.</w:t>
      </w:r>
    </w:p>
    <w:p w14:paraId="5860394F" w14:textId="77777777" w:rsidR="008C25AF" w:rsidRDefault="008C25AF" w:rsidP="008C25AF">
      <w:pPr>
        <w:pStyle w:val="Spacing"/>
      </w:pPr>
    </w:p>
    <w:p w14:paraId="7E8379C4" w14:textId="77777777" w:rsidR="008C25AF" w:rsidRDefault="001B5B37" w:rsidP="008C25AF">
      <w:pPr>
        <w:ind w:left="852"/>
      </w:pPr>
      <w:r>
        <w:rPr>
          <w:noProof/>
        </w:rPr>
        <w:drawing>
          <wp:inline distT="0" distB="0" distL="0" distR="0" wp14:anchorId="383871F7" wp14:editId="6878E339">
            <wp:extent cx="1406525" cy="122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4DE4" w14:textId="77777777" w:rsidR="008C25AF" w:rsidRDefault="008C25AF" w:rsidP="008C25AF">
      <w:pPr>
        <w:pStyle w:val="Spacing"/>
      </w:pPr>
    </w:p>
    <w:p w14:paraId="6F2FD6B4" w14:textId="77777777" w:rsidR="008C25AF" w:rsidRDefault="008C25AF" w:rsidP="008C25AF">
      <w:r>
        <w:t xml:space="preserve">The imaginary reference to the </w:t>
      </w:r>
      <w:r w:rsidR="000745ED">
        <w:t>module</w:t>
      </w:r>
      <w:r>
        <w:t xml:space="preserve"> displays all the global members of the </w:t>
      </w:r>
      <w:r w:rsidR="000745ED">
        <w:t>module</w:t>
      </w:r>
      <w:r>
        <w:t>. You can point to the global things you see inside this imaginary reference.</w:t>
      </w:r>
    </w:p>
    <w:p w14:paraId="194C9E0C" w14:textId="77777777" w:rsidR="008C25AF" w:rsidRDefault="008C25AF" w:rsidP="008C25AF">
      <w:pPr>
        <w:pStyle w:val="Spacing"/>
      </w:pPr>
    </w:p>
    <w:p w14:paraId="2B57E024" w14:textId="77777777" w:rsidR="008C25AF" w:rsidRDefault="001B5B37" w:rsidP="008C25AF">
      <w:pPr>
        <w:ind w:left="852"/>
      </w:pPr>
      <w:r>
        <w:rPr>
          <w:noProof/>
        </w:rPr>
        <w:drawing>
          <wp:inline distT="0" distB="0" distL="0" distR="0" wp14:anchorId="00B20164" wp14:editId="47EBFA39">
            <wp:extent cx="1354455" cy="115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9E3E" w14:textId="77777777" w:rsidR="008C25AF" w:rsidRDefault="008C25AF" w:rsidP="008C25AF">
      <w:pPr>
        <w:pStyle w:val="Spacing"/>
      </w:pPr>
    </w:p>
    <w:p w14:paraId="2E499035" w14:textId="77777777" w:rsidR="008C25AF" w:rsidRDefault="008C25AF" w:rsidP="008C25AF">
      <w:r>
        <w:t xml:space="preserve">The imaginary references to </w:t>
      </w:r>
      <w:r w:rsidR="000745ED">
        <w:t>module</w:t>
      </w:r>
      <w:r>
        <w:t xml:space="preserve"> are displayed as pentagons, that’s how you recognize it is global things you are accessing.</w:t>
      </w:r>
    </w:p>
    <w:p w14:paraId="572E195E" w14:textId="77777777" w:rsidR="008C25AF" w:rsidRDefault="008C25AF" w:rsidP="008C25AF">
      <w:pPr>
        <w:pStyle w:val="Spacing"/>
      </w:pPr>
    </w:p>
    <w:p w14:paraId="1E901C5E" w14:textId="77777777" w:rsidR="008C25AF" w:rsidRDefault="008C25AF" w:rsidP="008C25AF">
      <w:r>
        <w:t xml:space="preserve">Here is a </w:t>
      </w:r>
      <w:r w:rsidR="000745ED">
        <w:t>module</w:t>
      </w:r>
      <w:r>
        <w:t xml:space="preserve"> with a reference to another </w:t>
      </w:r>
      <w:r w:rsidR="000745ED">
        <w:t>module</w:t>
      </w:r>
      <w:r>
        <w:t>:</w:t>
      </w:r>
    </w:p>
    <w:p w14:paraId="199D073C" w14:textId="77777777" w:rsidR="008C25AF" w:rsidRDefault="008C25AF" w:rsidP="008C25AF">
      <w:pPr>
        <w:pStyle w:val="Spacing"/>
      </w:pPr>
    </w:p>
    <w:p w14:paraId="382B4E68" w14:textId="77777777" w:rsidR="008C25AF" w:rsidRDefault="001B5B37" w:rsidP="008C25AF">
      <w:pPr>
        <w:ind w:left="852"/>
      </w:pPr>
      <w:r>
        <w:rPr>
          <w:noProof/>
        </w:rPr>
        <w:drawing>
          <wp:inline distT="0" distB="0" distL="0" distR="0" wp14:anchorId="42EB2C95" wp14:editId="531A2732">
            <wp:extent cx="2106295" cy="155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BBCD" w14:textId="77777777" w:rsidR="008C25AF" w:rsidRDefault="008C25AF" w:rsidP="008C25AF"/>
    <w:p w14:paraId="7010A75F" w14:textId="77777777" w:rsidR="008C25AF" w:rsidRDefault="008C25AF" w:rsidP="008C25AF">
      <w:r>
        <w:t xml:space="preserve">This makes all the global members of module </w:t>
      </w:r>
      <w:r w:rsidRPr="004044B5">
        <w:rPr>
          <w:rStyle w:val="CodeChar"/>
        </w:rPr>
        <w:t>A</w:t>
      </w:r>
      <w:r>
        <w:t xml:space="preserve">, globally accessible from inside module </w:t>
      </w:r>
      <w:r w:rsidRPr="004044B5">
        <w:rPr>
          <w:rStyle w:val="CodeChar"/>
        </w:rPr>
        <w:t>B</w:t>
      </w:r>
      <w:r>
        <w:t>.</w:t>
      </w:r>
    </w:p>
    <w:p w14:paraId="49F1EA1D" w14:textId="77777777" w:rsidR="001F4723" w:rsidRDefault="001F4723" w:rsidP="002C0DF3">
      <w:pPr>
        <w:pStyle w:val="Kop2"/>
      </w:pPr>
      <w:r>
        <w:t>Ideas</w:t>
      </w:r>
    </w:p>
    <w:p w14:paraId="60AF2516" w14:textId="77777777" w:rsidR="002C0DF3" w:rsidRPr="002C0DF3" w:rsidRDefault="002C0DF3" w:rsidP="002C0DF3">
      <w:pPr>
        <w:rPr>
          <w:i/>
        </w:rPr>
      </w:pPr>
      <w:r w:rsidRPr="002C0DF3">
        <w:rPr>
          <w:i/>
        </w:rPr>
        <w:t>The texts below are ideas yet to be turned into good documentation.</w:t>
      </w:r>
    </w:p>
    <w:p w14:paraId="3A2EB2EE" w14:textId="77777777" w:rsidR="001F4723" w:rsidRDefault="001F4723" w:rsidP="002C0DF3">
      <w:pPr>
        <w:pStyle w:val="Kop3"/>
      </w:pPr>
      <w:r>
        <w:t>Out of the original Symbol documentation</w:t>
      </w:r>
    </w:p>
    <w:p w14:paraId="2C932A8E" w14:textId="77777777" w:rsidR="001F4723" w:rsidRDefault="001F4723" w:rsidP="00891B03">
      <w:pPr>
        <w:pStyle w:val="Kop4"/>
      </w:pPr>
      <w:r>
        <w:t xml:space="preserve">Multiple </w:t>
      </w:r>
      <w:r w:rsidR="00996EEF">
        <w:t>Module</w:t>
      </w:r>
      <w:r>
        <w:t xml:space="preserve"> Levels</w:t>
      </w:r>
    </w:p>
    <w:p w14:paraId="24D4581D" w14:textId="77777777" w:rsidR="001F4723" w:rsidRDefault="001F4723" w:rsidP="001F4723">
      <w:r>
        <w:t xml:space="preserve">A </w:t>
      </w:r>
      <w:r w:rsidR="000745ED">
        <w:t>module</w:t>
      </w:r>
      <w:r>
        <w:t xml:space="preserve"> B inside a </w:t>
      </w:r>
      <w:r w:rsidR="000745ED">
        <w:t>module</w:t>
      </w:r>
      <w:r>
        <w:t xml:space="preserve"> A is accessible by A. A </w:t>
      </w:r>
      <w:r w:rsidR="000745ED">
        <w:t>module</w:t>
      </w:r>
      <w:r>
        <w:t xml:space="preserve"> C inside </w:t>
      </w:r>
      <w:r w:rsidR="000745ED">
        <w:t>module</w:t>
      </w:r>
      <w:r>
        <w:t xml:space="preserve"> B is not accessible by A unless declared public.</w:t>
      </w:r>
    </w:p>
    <w:p w14:paraId="014511CD" w14:textId="77777777" w:rsidR="001F4723" w:rsidRDefault="001F4723" w:rsidP="001F4723"/>
    <w:p w14:paraId="51C8A0F7" w14:textId="77777777" w:rsidR="001F4723" w:rsidRDefault="000745ED" w:rsidP="001F4723">
      <w:r>
        <w:t>module</w:t>
      </w:r>
      <w:r w:rsidR="001F4723">
        <w:t xml:space="preserve"> A outside </w:t>
      </w:r>
      <w:r>
        <w:t>module</w:t>
      </w:r>
      <w:r w:rsidR="001F4723">
        <w:t xml:space="preserve"> B can not be accessed by B.</w:t>
      </w:r>
    </w:p>
    <w:p w14:paraId="18D4061D" w14:textId="77777777" w:rsidR="001F4723" w:rsidRDefault="001F4723" w:rsidP="001F4723"/>
    <w:p w14:paraId="18FB586F" w14:textId="77777777" w:rsidR="001F4723" w:rsidRDefault="001F4723" w:rsidP="001F4723">
      <w:r>
        <w:t xml:space="preserve">What about ‘system wide’ things that can be accessed from anywhere? It can be reached from embedded </w:t>
      </w:r>
      <w:r w:rsidR="009A4EBD">
        <w:t>modules</w:t>
      </w:r>
      <w:r>
        <w:t xml:space="preserve">, which disobeys the rule just defined. If it’s really system wide, then you simply embed a </w:t>
      </w:r>
      <w:r w:rsidR="000745ED">
        <w:t>module</w:t>
      </w:r>
      <w:r>
        <w:t xml:space="preserve"> by linking to the shared instance of a module.</w:t>
      </w:r>
    </w:p>
    <w:p w14:paraId="7D7C6241" w14:textId="77777777" w:rsidR="001F4723" w:rsidRDefault="001F4723" w:rsidP="001F4723"/>
    <w:p w14:paraId="27D23FD7" w14:textId="77777777" w:rsidR="001F4723" w:rsidRDefault="001F4723" w:rsidP="001F4723">
      <w:r>
        <w:t xml:space="preserve">But what if it’s less system wide? In that case it seems that a deep </w:t>
      </w:r>
      <w:r w:rsidR="000745ED">
        <w:t>module</w:t>
      </w:r>
      <w:r>
        <w:t xml:space="preserve"> has access to a shallower </w:t>
      </w:r>
      <w:r w:rsidR="000745ED">
        <w:t>module</w:t>
      </w:r>
      <w:r>
        <w:t>… &lt;&lt; I’ll figure out later &gt;&gt;</w:t>
      </w:r>
    </w:p>
    <w:p w14:paraId="47E7E80F" w14:textId="51090C54" w:rsidR="001F4723" w:rsidRDefault="001F4723" w:rsidP="001F4723"/>
    <w:p w14:paraId="632ACB74" w14:textId="24634044" w:rsidR="00B21BB3" w:rsidRDefault="00B21BB3" w:rsidP="001F4723">
      <w:r>
        <w:t>-----</w:t>
      </w:r>
    </w:p>
    <w:p w14:paraId="26BE4FD5" w14:textId="77777777" w:rsidR="001F4723" w:rsidRDefault="001F4723" w:rsidP="001F4723"/>
    <w:p w14:paraId="6E0963AF" w14:textId="77777777" w:rsidR="001F4723" w:rsidRDefault="001F4723" w:rsidP="001F4723">
      <w:r>
        <w:t xml:space="preserve">If a </w:t>
      </w:r>
      <w:r w:rsidR="000745ED">
        <w:t>module</w:t>
      </w:r>
      <w:r>
        <w:t xml:space="preserve"> is declared public, it becomes a sub module in the Sigma module.</w:t>
      </w:r>
    </w:p>
    <w:p w14:paraId="104A5943" w14:textId="1F4A4F90" w:rsidR="008814EC" w:rsidRDefault="008814EC" w:rsidP="001F4723"/>
    <w:p w14:paraId="6C4F837E" w14:textId="77777777" w:rsidR="00B21BB3" w:rsidRDefault="00B21BB3" w:rsidP="00B21BB3">
      <w:r>
        <w:t>-----</w:t>
      </w:r>
    </w:p>
    <w:p w14:paraId="28B175CE" w14:textId="77777777" w:rsidR="00B21BB3" w:rsidRDefault="00B21BB3" w:rsidP="001F4723"/>
    <w:p w14:paraId="0F4F0E40" w14:textId="77777777" w:rsidR="008814EC" w:rsidRDefault="008814EC" w:rsidP="008814EC">
      <w:r>
        <w:t>Global is a bad term.</w:t>
      </w:r>
    </w:p>
    <w:p w14:paraId="66E2557C" w14:textId="77777777" w:rsidR="008814EC" w:rsidRDefault="008814EC" w:rsidP="008814EC">
      <w:r>
        <w:t>Because global insinuates its scope is the entire earth.</w:t>
      </w:r>
    </w:p>
    <w:p w14:paraId="13F664A5" w14:textId="77777777" w:rsidR="008814EC" w:rsidRDefault="008814EC" w:rsidP="008814EC">
      <w:r>
        <w:t xml:space="preserve">That’s why I call it a </w:t>
      </w:r>
      <w:r w:rsidR="000745ED">
        <w:rPr>
          <w:i/>
        </w:rPr>
        <w:t>module</w:t>
      </w:r>
      <w:r>
        <w:t xml:space="preserve">. That implies there can be multiple </w:t>
      </w:r>
      <w:r w:rsidR="009A4EBD">
        <w:t>modules</w:t>
      </w:r>
      <w:r>
        <w:t xml:space="preserve">. But still it might be a bad term, because it’s not really global (the entire earth). But then again: a </w:t>
      </w:r>
      <w:r w:rsidR="000745ED">
        <w:t>module</w:t>
      </w:r>
      <w:r>
        <w:t xml:space="preserve"> was defined as ‘a little world in which objects live’. So then it is a good term again.</w:t>
      </w:r>
    </w:p>
    <w:p w14:paraId="6E7FC550" w14:textId="77777777" w:rsidR="008814EC" w:rsidRDefault="008814EC" w:rsidP="001F4723"/>
    <w:p w14:paraId="36C170D2" w14:textId="77777777" w:rsidR="009A224A" w:rsidRDefault="009A224A" w:rsidP="001F4723"/>
    <w:p w14:paraId="3611EB5A" w14:textId="77777777" w:rsidR="009A224A" w:rsidRDefault="009A224A" w:rsidP="001F4723">
      <w:r>
        <w:t>2004,</w:t>
      </w:r>
    </w:p>
    <w:p w14:paraId="687EA4F9" w14:textId="77777777" w:rsidR="009A224A" w:rsidRDefault="009A224A" w:rsidP="001F4723"/>
    <w:p w14:paraId="7F96B5FE" w14:textId="4D9F160E" w:rsidR="009A224A" w:rsidRDefault="009A224A" w:rsidP="009A224A">
      <w:r>
        <w:t>A pentagon's direct children can all reference each</w:t>
      </w:r>
      <w:r w:rsidR="00B21BB3">
        <w:t xml:space="preserve"> </w:t>
      </w:r>
      <w:r>
        <w:t>other and can be</w:t>
      </w:r>
      <w:r w:rsidR="00B21BB3">
        <w:t xml:space="preserve"> </w:t>
      </w:r>
      <w:r>
        <w:t>referenced by all ancestors (containment</w:t>
      </w:r>
      <w:r w:rsidR="00B21BB3">
        <w:t>-</w:t>
      </w:r>
      <w:r>
        <w:t xml:space="preserve">wise ancestors). </w:t>
      </w:r>
      <w:r w:rsidR="00996EEF">
        <w:t>Module</w:t>
      </w:r>
      <w:r>
        <w:t xml:space="preserve"> is</w:t>
      </w:r>
      <w:r w:rsidR="00B21BB3">
        <w:t xml:space="preserve"> </w:t>
      </w:r>
      <w:r>
        <w:t>only one function of a pentagon. Actually a pentagon is a lot like</w:t>
      </w:r>
      <w:r w:rsidR="00B21BB3">
        <w:t xml:space="preserve"> </w:t>
      </w:r>
      <w:r w:rsidR="000745ED">
        <w:t>module</w:t>
      </w:r>
      <w:r>
        <w:t xml:space="preserve">, where there are multiple levels of </w:t>
      </w:r>
      <w:r w:rsidR="000745ED">
        <w:t>module</w:t>
      </w:r>
      <w:r>
        <w:t xml:space="preserve"> and that exists in</w:t>
      </w:r>
      <w:r w:rsidR="0082250E">
        <w:t xml:space="preserve"> </w:t>
      </w:r>
      <w:r>
        <w:t>today's systems.</w:t>
      </w:r>
    </w:p>
    <w:p w14:paraId="53D0DE83" w14:textId="77777777" w:rsidR="009A224A" w:rsidRDefault="009A224A" w:rsidP="001F4723"/>
    <w:p w14:paraId="0EF53091" w14:textId="77777777" w:rsidR="009A224A" w:rsidRDefault="009A224A" w:rsidP="001F4723">
      <w:r>
        <w:t>JJ</w:t>
      </w:r>
    </w:p>
    <w:p w14:paraId="6F54F082" w14:textId="77777777" w:rsidR="009F2F08" w:rsidRDefault="009F2F08" w:rsidP="001F4723"/>
    <w:p w14:paraId="289B9028" w14:textId="77777777" w:rsidR="009F2F08" w:rsidRDefault="009F2F08" w:rsidP="00891B03">
      <w:pPr>
        <w:pStyle w:val="Kop4"/>
      </w:pPr>
      <w:r>
        <w:t xml:space="preserve">System Procedures for </w:t>
      </w:r>
      <w:r w:rsidR="009A4EBD">
        <w:t>Modules</w:t>
      </w:r>
    </w:p>
    <w:p w14:paraId="72F61BC8" w14:textId="77777777" w:rsidR="009F2F08" w:rsidRDefault="009F2F08" w:rsidP="009F2F08">
      <w:r>
        <w:t xml:space="preserve">System procedures of </w:t>
      </w:r>
      <w:r w:rsidR="009A4EBD">
        <w:t>modules</w:t>
      </w:r>
      <w:r>
        <w:t xml:space="preserve"> are the same as for other object symbols. The only restriction is that </w:t>
      </w:r>
      <w:r w:rsidR="009A4EBD">
        <w:t>modules</w:t>
      </w:r>
      <w:r>
        <w:t xml:space="preserve"> can’t have lines to objects and objects can’t have lines to </w:t>
      </w:r>
      <w:r w:rsidR="009A4EBD">
        <w:t>modules</w:t>
      </w:r>
      <w:r>
        <w:t xml:space="preserve">. </w:t>
      </w:r>
      <w:r w:rsidR="009A4EBD">
        <w:t>Modules</w:t>
      </w:r>
      <w:r>
        <w:t xml:space="preserve"> can have an object line, type line and interface line just like objects.</w:t>
      </w:r>
    </w:p>
    <w:p w14:paraId="6694ABE9" w14:textId="77777777" w:rsidR="009F2F08" w:rsidRPr="001F4723" w:rsidRDefault="009F2F08" w:rsidP="001F4723"/>
    <w:sectPr w:rsidR="009F2F08" w:rsidRPr="001F47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45ED"/>
    <w:rsid w:val="000C7D9D"/>
    <w:rsid w:val="000F652F"/>
    <w:rsid w:val="00175EE4"/>
    <w:rsid w:val="00177197"/>
    <w:rsid w:val="001B5B37"/>
    <w:rsid w:val="001B7346"/>
    <w:rsid w:val="001D2DA8"/>
    <w:rsid w:val="001F4723"/>
    <w:rsid w:val="0027394B"/>
    <w:rsid w:val="00280CE9"/>
    <w:rsid w:val="002C0DF3"/>
    <w:rsid w:val="002C166C"/>
    <w:rsid w:val="00311845"/>
    <w:rsid w:val="0032466D"/>
    <w:rsid w:val="003271FC"/>
    <w:rsid w:val="00344F8E"/>
    <w:rsid w:val="003B164B"/>
    <w:rsid w:val="003C36BA"/>
    <w:rsid w:val="0041620C"/>
    <w:rsid w:val="004348B0"/>
    <w:rsid w:val="004367E6"/>
    <w:rsid w:val="004D4169"/>
    <w:rsid w:val="00532D2F"/>
    <w:rsid w:val="0055273D"/>
    <w:rsid w:val="00571582"/>
    <w:rsid w:val="00574711"/>
    <w:rsid w:val="006876A4"/>
    <w:rsid w:val="006B64D3"/>
    <w:rsid w:val="006C6D0F"/>
    <w:rsid w:val="006F2631"/>
    <w:rsid w:val="00715739"/>
    <w:rsid w:val="007442B6"/>
    <w:rsid w:val="007E7FC4"/>
    <w:rsid w:val="0080172B"/>
    <w:rsid w:val="0082250E"/>
    <w:rsid w:val="00840264"/>
    <w:rsid w:val="00846B80"/>
    <w:rsid w:val="008814EC"/>
    <w:rsid w:val="00891A4A"/>
    <w:rsid w:val="00891B03"/>
    <w:rsid w:val="008C25AF"/>
    <w:rsid w:val="008C6D6B"/>
    <w:rsid w:val="008F228C"/>
    <w:rsid w:val="00916207"/>
    <w:rsid w:val="00916A8F"/>
    <w:rsid w:val="00926221"/>
    <w:rsid w:val="00954D31"/>
    <w:rsid w:val="00996EEF"/>
    <w:rsid w:val="009A1E2B"/>
    <w:rsid w:val="009A224A"/>
    <w:rsid w:val="009A4EBD"/>
    <w:rsid w:val="009C617F"/>
    <w:rsid w:val="009F2C47"/>
    <w:rsid w:val="009F2F08"/>
    <w:rsid w:val="00A37A6A"/>
    <w:rsid w:val="00A531F0"/>
    <w:rsid w:val="00AA0A55"/>
    <w:rsid w:val="00AC64AE"/>
    <w:rsid w:val="00AD0AD9"/>
    <w:rsid w:val="00AD7367"/>
    <w:rsid w:val="00B21BB3"/>
    <w:rsid w:val="00B25223"/>
    <w:rsid w:val="00B37086"/>
    <w:rsid w:val="00B633F4"/>
    <w:rsid w:val="00BF0D7A"/>
    <w:rsid w:val="00C057FC"/>
    <w:rsid w:val="00C82778"/>
    <w:rsid w:val="00C90709"/>
    <w:rsid w:val="00D06B66"/>
    <w:rsid w:val="00DC1C56"/>
    <w:rsid w:val="00DC39C0"/>
    <w:rsid w:val="00DC50C8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64AA4"/>
  <w15:chartTrackingRefBased/>
  <w15:docId w15:val="{ED99F99F-BEC7-4335-A55E-BD520610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21BB3"/>
    <w:pPr>
      <w:ind w:left="567"/>
    </w:pPr>
    <w:rPr>
      <w:rFonts w:ascii="Tahoma" w:hAnsi="Tahoma"/>
      <w:szCs w:val="26"/>
    </w:rPr>
  </w:style>
  <w:style w:type="paragraph" w:styleId="Kop1">
    <w:name w:val="heading 1"/>
    <w:basedOn w:val="Standaard"/>
    <w:next w:val="Standaard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Kop2">
    <w:name w:val="heading 2"/>
    <w:basedOn w:val="Standaard"/>
    <w:next w:val="Standaard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Kop3">
    <w:name w:val="heading 3"/>
    <w:basedOn w:val="Standaard"/>
    <w:next w:val="Standaard"/>
    <w:qFormat/>
    <w:rsid w:val="00891B03"/>
    <w:pPr>
      <w:keepNext/>
      <w:spacing w:before="180" w:after="120"/>
      <w:outlineLvl w:val="2"/>
    </w:pPr>
    <w:rPr>
      <w:rFonts w:cs="Arial"/>
      <w:b/>
      <w:bCs/>
    </w:rPr>
  </w:style>
  <w:style w:type="paragraph" w:styleId="Kop4">
    <w:name w:val="heading 4"/>
    <w:basedOn w:val="Standaard"/>
    <w:next w:val="Standaard"/>
    <w:qFormat/>
    <w:rsid w:val="00891B03"/>
    <w:pPr>
      <w:keepNext/>
      <w:spacing w:before="180" w:after="120"/>
      <w:outlineLvl w:val="3"/>
    </w:pPr>
    <w:rPr>
      <w:bCs/>
      <w:i/>
      <w:sz w:val="22"/>
      <w:szCs w:val="28"/>
    </w:rPr>
  </w:style>
  <w:style w:type="paragraph" w:styleId="Kop5">
    <w:name w:val="heading 5"/>
    <w:basedOn w:val="Standaard"/>
    <w:next w:val="Standaard"/>
    <w:qFormat/>
    <w:rsid w:val="003B164B"/>
    <w:pPr>
      <w:spacing w:before="240" w:after="60"/>
      <w:outlineLvl w:val="4"/>
    </w:pPr>
    <w:rPr>
      <w:b/>
      <w:bCs/>
      <w:i/>
      <w:iCs/>
      <w:sz w:val="26"/>
    </w:rPr>
  </w:style>
  <w:style w:type="paragraph" w:styleId="Kop6">
    <w:name w:val="heading 6"/>
    <w:basedOn w:val="Standaard"/>
    <w:next w:val="Standaard"/>
    <w:qFormat/>
    <w:rsid w:val="003B164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1F4723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Standaard"/>
    <w:rsid w:val="007E7FC4"/>
    <w:rPr>
      <w:i/>
      <w:sz w:val="18"/>
      <w:lang w:val="nl-NL"/>
    </w:rPr>
  </w:style>
  <w:style w:type="table" w:styleId="Tabelraster">
    <w:name w:val="Table Grid"/>
    <w:basedOn w:val="Standaardtabe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structuur">
    <w:name w:val="Document Map"/>
    <w:basedOn w:val="Standaard"/>
    <w:rsid w:val="003271FC"/>
    <w:pPr>
      <w:shd w:val="clear" w:color="auto" w:fill="000080"/>
    </w:pPr>
    <w:rPr>
      <w:rFonts w:cs="Tahoma"/>
    </w:rPr>
  </w:style>
  <w:style w:type="paragraph" w:styleId="Ballontekst">
    <w:name w:val="Balloon Text"/>
    <w:basedOn w:val="Standaard"/>
    <w:rsid w:val="00954D31"/>
    <w:rPr>
      <w:rFonts w:cs="Tahoma"/>
      <w:sz w:val="16"/>
      <w:szCs w:val="16"/>
    </w:rPr>
  </w:style>
  <w:style w:type="paragraph" w:styleId="Bijschrift">
    <w:name w:val="caption"/>
    <w:basedOn w:val="Standaard"/>
    <w:next w:val="Standaard"/>
    <w:qFormat/>
    <w:rsid w:val="00954D31"/>
    <w:pPr>
      <w:spacing w:before="120" w:after="120"/>
    </w:pPr>
    <w:rPr>
      <w:b/>
      <w:bCs/>
      <w:szCs w:val="20"/>
    </w:rPr>
  </w:style>
  <w:style w:type="character" w:styleId="Verwijzingopmerking">
    <w:name w:val="annotation reference"/>
    <w:rsid w:val="00954D31"/>
    <w:rPr>
      <w:sz w:val="16"/>
      <w:szCs w:val="16"/>
    </w:rPr>
  </w:style>
  <w:style w:type="paragraph" w:styleId="Tekstopmerking">
    <w:name w:val="annotation text"/>
    <w:basedOn w:val="Standaard"/>
    <w:rsid w:val="00954D31"/>
    <w:rPr>
      <w:szCs w:val="20"/>
    </w:rPr>
  </w:style>
  <w:style w:type="paragraph" w:styleId="Onderwerpvanopmerking">
    <w:name w:val="annotation subject"/>
    <w:basedOn w:val="Tekstopmerking"/>
    <w:next w:val="Tekstopmerking"/>
    <w:rsid w:val="00954D31"/>
    <w:rPr>
      <w:b/>
      <w:bCs/>
    </w:rPr>
  </w:style>
  <w:style w:type="character" w:styleId="Eindnootmarkering">
    <w:name w:val="endnote reference"/>
    <w:rsid w:val="00954D31"/>
    <w:rPr>
      <w:vertAlign w:val="superscript"/>
    </w:rPr>
  </w:style>
  <w:style w:type="paragraph" w:styleId="Eindnoottekst">
    <w:name w:val="endnote text"/>
    <w:basedOn w:val="Standaard"/>
    <w:rsid w:val="00954D31"/>
    <w:rPr>
      <w:szCs w:val="20"/>
    </w:rPr>
  </w:style>
  <w:style w:type="character" w:styleId="Voetnootmarkering">
    <w:name w:val="footnote reference"/>
    <w:rsid w:val="00954D31"/>
    <w:rPr>
      <w:vertAlign w:val="superscript"/>
    </w:rPr>
  </w:style>
  <w:style w:type="paragraph" w:styleId="Voetnoottekst">
    <w:name w:val="footnote text"/>
    <w:basedOn w:val="Standaard"/>
    <w:rsid w:val="00954D31"/>
    <w:rPr>
      <w:szCs w:val="20"/>
    </w:rPr>
  </w:style>
  <w:style w:type="paragraph" w:styleId="Index1">
    <w:name w:val="index 1"/>
    <w:basedOn w:val="Standaard"/>
    <w:next w:val="Standaard"/>
    <w:autoRedefine/>
    <w:rsid w:val="00954D31"/>
    <w:pPr>
      <w:ind w:left="200" w:hanging="200"/>
    </w:pPr>
  </w:style>
  <w:style w:type="paragraph" w:styleId="Index2">
    <w:name w:val="index 2"/>
    <w:basedOn w:val="Standaard"/>
    <w:next w:val="Standaard"/>
    <w:autoRedefine/>
    <w:rsid w:val="00954D31"/>
    <w:pPr>
      <w:ind w:left="400" w:hanging="200"/>
    </w:pPr>
  </w:style>
  <w:style w:type="paragraph" w:styleId="Index3">
    <w:name w:val="index 3"/>
    <w:basedOn w:val="Standaard"/>
    <w:next w:val="Standaard"/>
    <w:autoRedefine/>
    <w:rsid w:val="00954D31"/>
    <w:pPr>
      <w:ind w:left="600" w:hanging="200"/>
    </w:pPr>
  </w:style>
  <w:style w:type="paragraph" w:styleId="Index4">
    <w:name w:val="index 4"/>
    <w:basedOn w:val="Standaard"/>
    <w:next w:val="Standaard"/>
    <w:autoRedefine/>
    <w:rsid w:val="00954D31"/>
    <w:pPr>
      <w:ind w:left="800" w:hanging="200"/>
    </w:pPr>
  </w:style>
  <w:style w:type="paragraph" w:styleId="Index5">
    <w:name w:val="index 5"/>
    <w:basedOn w:val="Standaard"/>
    <w:next w:val="Standaard"/>
    <w:autoRedefine/>
    <w:rsid w:val="00954D31"/>
    <w:pPr>
      <w:ind w:left="1000" w:hanging="200"/>
    </w:pPr>
  </w:style>
  <w:style w:type="paragraph" w:styleId="Index6">
    <w:name w:val="index 6"/>
    <w:basedOn w:val="Standaard"/>
    <w:next w:val="Standaard"/>
    <w:autoRedefine/>
    <w:rsid w:val="00954D31"/>
    <w:pPr>
      <w:ind w:left="1200" w:hanging="200"/>
    </w:pPr>
  </w:style>
  <w:style w:type="paragraph" w:styleId="Index7">
    <w:name w:val="index 7"/>
    <w:basedOn w:val="Standaard"/>
    <w:next w:val="Standaard"/>
    <w:autoRedefine/>
    <w:rsid w:val="00954D31"/>
    <w:pPr>
      <w:ind w:left="1400" w:hanging="200"/>
    </w:pPr>
  </w:style>
  <w:style w:type="paragraph" w:styleId="Index8">
    <w:name w:val="index 8"/>
    <w:basedOn w:val="Standaard"/>
    <w:next w:val="Standaard"/>
    <w:autoRedefine/>
    <w:rsid w:val="00954D31"/>
    <w:pPr>
      <w:ind w:left="1600" w:hanging="200"/>
    </w:pPr>
  </w:style>
  <w:style w:type="paragraph" w:styleId="Index9">
    <w:name w:val="index 9"/>
    <w:basedOn w:val="Standaard"/>
    <w:next w:val="Standaard"/>
    <w:autoRedefine/>
    <w:rsid w:val="00954D31"/>
    <w:pPr>
      <w:ind w:left="1800" w:hanging="200"/>
    </w:pPr>
  </w:style>
  <w:style w:type="paragraph" w:styleId="Indexkop">
    <w:name w:val="index heading"/>
    <w:basedOn w:val="Standaard"/>
    <w:next w:val="Index1"/>
    <w:rsid w:val="00954D31"/>
    <w:rPr>
      <w:rFonts w:ascii="Arial" w:hAnsi="Arial" w:cs="Arial"/>
      <w:b/>
      <w:bCs/>
    </w:rPr>
  </w:style>
  <w:style w:type="paragraph" w:styleId="Macroteks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Bronvermelding">
    <w:name w:val="table of authorities"/>
    <w:basedOn w:val="Standaard"/>
    <w:next w:val="Standaard"/>
    <w:rsid w:val="00954D31"/>
    <w:pPr>
      <w:ind w:left="200" w:hanging="200"/>
    </w:pPr>
  </w:style>
  <w:style w:type="paragraph" w:styleId="Lijstmetafbeeldingen">
    <w:name w:val="table of figures"/>
    <w:basedOn w:val="Standaard"/>
    <w:next w:val="Standaard"/>
    <w:rsid w:val="00954D31"/>
    <w:pPr>
      <w:ind w:left="400" w:hanging="400"/>
    </w:pPr>
  </w:style>
  <w:style w:type="paragraph" w:styleId="Kopbronvermelding">
    <w:name w:val="toa heading"/>
    <w:basedOn w:val="Standaard"/>
    <w:next w:val="Standaard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rsid w:val="00954D31"/>
    <w:pPr>
      <w:ind w:left="0"/>
    </w:pPr>
  </w:style>
  <w:style w:type="paragraph" w:styleId="Inhopg2">
    <w:name w:val="toc 2"/>
    <w:basedOn w:val="Standaard"/>
    <w:next w:val="Standaard"/>
    <w:autoRedefine/>
    <w:rsid w:val="00954D31"/>
    <w:pPr>
      <w:ind w:left="200"/>
    </w:pPr>
  </w:style>
  <w:style w:type="paragraph" w:styleId="Inhopg3">
    <w:name w:val="toc 3"/>
    <w:basedOn w:val="Standaard"/>
    <w:next w:val="Standaard"/>
    <w:autoRedefine/>
    <w:rsid w:val="00954D31"/>
    <w:pPr>
      <w:ind w:left="400"/>
    </w:pPr>
  </w:style>
  <w:style w:type="paragraph" w:styleId="Inhopg4">
    <w:name w:val="toc 4"/>
    <w:basedOn w:val="Standaard"/>
    <w:next w:val="Standaard"/>
    <w:autoRedefine/>
    <w:rsid w:val="00954D31"/>
    <w:pPr>
      <w:ind w:left="600"/>
    </w:pPr>
  </w:style>
  <w:style w:type="paragraph" w:styleId="Inhopg5">
    <w:name w:val="toc 5"/>
    <w:basedOn w:val="Standaard"/>
    <w:next w:val="Standaard"/>
    <w:autoRedefine/>
    <w:rsid w:val="00954D31"/>
    <w:pPr>
      <w:ind w:left="800"/>
    </w:pPr>
  </w:style>
  <w:style w:type="paragraph" w:styleId="Inhopg6">
    <w:name w:val="toc 6"/>
    <w:basedOn w:val="Standaard"/>
    <w:next w:val="Standaard"/>
    <w:autoRedefine/>
    <w:rsid w:val="00954D31"/>
    <w:pPr>
      <w:ind w:left="1000"/>
    </w:pPr>
  </w:style>
  <w:style w:type="paragraph" w:styleId="Inhopg7">
    <w:name w:val="toc 7"/>
    <w:basedOn w:val="Standaard"/>
    <w:next w:val="Standaard"/>
    <w:autoRedefine/>
    <w:rsid w:val="00954D31"/>
    <w:pPr>
      <w:ind w:left="1200"/>
    </w:pPr>
  </w:style>
  <w:style w:type="paragraph" w:styleId="Inhopg8">
    <w:name w:val="toc 8"/>
    <w:basedOn w:val="Standaard"/>
    <w:next w:val="Standaard"/>
    <w:autoRedefine/>
    <w:rsid w:val="00954D31"/>
    <w:pPr>
      <w:ind w:left="1400"/>
    </w:pPr>
  </w:style>
  <w:style w:type="paragraph" w:styleId="Inhopg9">
    <w:name w:val="toc 9"/>
    <w:basedOn w:val="Standaard"/>
    <w:next w:val="Standaard"/>
    <w:autoRedefine/>
    <w:rsid w:val="00954D31"/>
    <w:pPr>
      <w:ind w:left="1600"/>
    </w:pPr>
  </w:style>
  <w:style w:type="paragraph" w:customStyle="1" w:styleId="Spacing">
    <w:name w:val="Spacing"/>
    <w:basedOn w:val="Standaard"/>
    <w:link w:val="SpacingChar"/>
    <w:rsid w:val="00954D31"/>
    <w:rPr>
      <w:sz w:val="12"/>
    </w:rPr>
  </w:style>
  <w:style w:type="paragraph" w:customStyle="1" w:styleId="Code">
    <w:name w:val="Code"/>
    <w:basedOn w:val="Standaard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AlineaSeparator">
    <w:name w:val="Alinea Separator"/>
    <w:basedOn w:val="Standaard"/>
    <w:rsid w:val="003B164B"/>
    <w:pPr>
      <w:ind w:left="0"/>
    </w:pPr>
    <w:rPr>
      <w:sz w:val="12"/>
    </w:rPr>
  </w:style>
  <w:style w:type="paragraph" w:customStyle="1" w:styleId="CodeCharChar">
    <w:name w:val="Code Char Char"/>
    <w:basedOn w:val="Standaard"/>
    <w:link w:val="CodeCharCharChar"/>
    <w:rsid w:val="003B164B"/>
    <w:pPr>
      <w:ind w:left="0"/>
    </w:pPr>
    <w:rPr>
      <w:b/>
      <w:sz w:val="18"/>
      <w:szCs w:val="22"/>
    </w:rPr>
  </w:style>
  <w:style w:type="character" w:customStyle="1" w:styleId="CodeCharCharChar">
    <w:name w:val="Code Char Char Char"/>
    <w:link w:val="CodeCharChar"/>
    <w:rsid w:val="003B164B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SpacingChar">
    <w:name w:val="Spacing Char"/>
    <w:link w:val="Spacing"/>
    <w:rsid w:val="0055273D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11</cp:revision>
  <cp:lastPrinted>1899-12-31T23:00:00Z</cp:lastPrinted>
  <dcterms:created xsi:type="dcterms:W3CDTF">2020-05-20T18:05:00Z</dcterms:created>
  <dcterms:modified xsi:type="dcterms:W3CDTF">2021-02-25T18:03:00Z</dcterms:modified>
</cp:coreProperties>
</file>