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3C09A9" w:rsidRPr="003C09A9" w:rsidRDefault="00150EB3" w:rsidP="003C09A9">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6B10BA">
        <w:t xml:space="preserve">would </w:t>
      </w:r>
      <w:r w:rsidR="00325961">
        <w:t xml:space="preserve">also </w:t>
      </w:r>
      <w:r w:rsidR="00325961" w:rsidRPr="005837C2">
        <w:t xml:space="preserve">appear </w:t>
      </w:r>
      <w:r w:rsidR="001F5E58">
        <w:t>as text</w:t>
      </w:r>
      <w:r w:rsidR="006B10BA">
        <w:t xml:space="preserve"> perhaps</w:t>
      </w:r>
      <w:r w:rsidR="00AE6C35">
        <w:t>:</w:t>
      </w:r>
    </w:p>
    <w:p w:rsidR="003C09A9" w:rsidRPr="00F52573" w:rsidRDefault="003C09A9" w:rsidP="00F52573"/>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objects, classes and 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942F35" w:rsidP="004255DB">
      <w:r>
        <w:t xml:space="preserve">Circles might be used more than triangles.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that</w:t>
      </w:r>
      <w:r w:rsidR="003F2BDA">
        <w:t xml:space="preserve"> </w:t>
      </w:r>
      <w:r w:rsidR="006C13E2">
        <w:t xml:space="preserve">may </w:t>
      </w:r>
      <w:r w:rsidR="003F2BDA">
        <w:t>be</w:t>
      </w:r>
      <w:r w:rsidR="00C077E3">
        <w:t xml:space="preserve"> </w:t>
      </w:r>
      <w:r w:rsidR="003F2BDA">
        <w:t>clear</w:t>
      </w:r>
      <w:r w:rsidR="00C077E3">
        <w:t>ified</w:t>
      </w:r>
      <w:r w:rsidR="00DA52A1" w:rsidRPr="00415637">
        <w:rPr>
          <w:color w:val="FF0000"/>
        </w:rPr>
        <w:t xml:space="preserve"> </w:t>
      </w:r>
      <w:r w:rsidR="003F2BDA" w:rsidRPr="003F2BDA">
        <w:t>later</w:t>
      </w:r>
      <w:r w:rsidR="00325961">
        <w:t>.</w:t>
      </w:r>
    </w:p>
    <w:p w:rsidR="00942F35" w:rsidRDefault="00942F35" w:rsidP="004255DB"/>
    <w:p w:rsidR="00942F35" w:rsidRDefault="00942F35" w:rsidP="004255DB">
      <w:r>
        <w:t xml:space="preserve">The choice for having a circle represent objects, </w:t>
      </w:r>
      <w:r w:rsidR="00A81030">
        <w:t xml:space="preserve">might </w:t>
      </w:r>
      <w:r>
        <w:t xml:space="preserve">relate to the view that objects </w:t>
      </w:r>
      <w:r w:rsidR="00A81030">
        <w:t xml:space="preserve">could be considered </w:t>
      </w:r>
      <w:r>
        <w:t>athe foundation for object oriented programming, and circles may arguably the most basic shape there is.</w:t>
      </w:r>
      <w:r w:rsidR="00A81030">
        <w:t xml:space="preserve"> So the most basic shape would be used for the most basic concept in the paradigm of object oriented programming.</w:t>
      </w:r>
      <w:bookmarkStart w:id="0" w:name="_GoBack"/>
      <w:bookmarkEnd w:id="0"/>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 xml:space="preserve">might </w:t>
      </w:r>
      <w:r w:rsidR="00065FE7">
        <w:t>not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r w:rsidR="003C52F2">
        <w:t xml:space="preserve"> The pointiness might </w:t>
      </w:r>
      <w:r w:rsidR="005B64BF">
        <w:t xml:space="preserve">be to </w:t>
      </w:r>
      <w:r w:rsidR="003C52F2">
        <w:t>distinguish it from other shapes.</w:t>
      </w:r>
      <w:r w:rsidR="00D116E6">
        <w:t xml:space="preserve"> It sort of looks like a house maybe.</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E233FC" w:rsidRDefault="00E233FC" w:rsidP="004255DB">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t>.</w:t>
      </w:r>
      <w:r w:rsidR="00661F69">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r w:rsidR="00204C25">
        <w:t xml:space="preserve"> The idea is that the pointy parts stand for multiplicity.</w:t>
      </w:r>
      <w:r w:rsidR="003C52F2">
        <w:t xml:space="preserve"> The exaggerated pointiness might </w:t>
      </w:r>
      <w:r w:rsidR="006217EC">
        <w:t xml:space="preserve">be to </w:t>
      </w:r>
      <w:r w:rsidR="003C52F2">
        <w:t>distinguish it from other shapes.</w:t>
      </w:r>
      <w:r w:rsidR="000078DF">
        <w:t xml:space="preserve"> It also might sort of make it look like the inverse of a circle: a circle might stand for </w:t>
      </w:r>
      <w:r w:rsidR="000078DF" w:rsidRPr="000078DF">
        <w:rPr>
          <w:i/>
          <w:iCs/>
        </w:rPr>
        <w:t>one</w:t>
      </w:r>
      <w:r w:rsidR="000078DF">
        <w:t xml:space="preserve">, while an inverted circle may depict the concet of </w:t>
      </w:r>
      <w:r w:rsidR="000078DF" w:rsidRPr="000078DF">
        <w:rPr>
          <w:i/>
          <w:iCs/>
        </w:rPr>
        <w:t>many</w:t>
      </w:r>
      <w:r w:rsidR="000078DF">
        <w:t>.</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are connected with lines, </w:t>
      </w:r>
      <w:r w:rsidR="00067BC4">
        <w:t xml:space="preserve">those symbols have something in </w:t>
      </w:r>
      <w:r w:rsidR="00567F17">
        <w:t>common.</w:t>
      </w:r>
    </w:p>
    <w:p w:rsidR="000D000A" w:rsidRDefault="000D000A" w:rsidP="00567F17"/>
    <w:p w:rsidR="000D000A" w:rsidRDefault="000D000A" w:rsidP="00567F17">
      <w:r>
        <w:rPr>
          <w:noProof/>
        </w:rPr>
        <w:drawing>
          <wp:inline distT="0" distB="0" distL="0" distR="0" wp14:anchorId="18818780" wp14:editId="3C37EBB4">
            <wp:extent cx="1118235" cy="469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7414D7">
        <w:t xml:space="preserve">mean </w:t>
      </w:r>
      <w:r w:rsidR="009D07E8">
        <w:t xml:space="preserve">they represent </w:t>
      </w:r>
      <w:r w:rsidRPr="00AF3B73">
        <w:t xml:space="preserve">the </w:t>
      </w:r>
      <w:r w:rsidRPr="009D07E8">
        <w:t xml:space="preserve">same 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at</w:t>
      </w:r>
      <w:r>
        <w:t xml:space="preserve">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may be seen 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to </w:t>
      </w:r>
      <w:r w:rsidR="00A55CCB" w:rsidRPr="00A55CCB">
        <w:t xml:space="preserve">the </w:t>
      </w:r>
      <w:r w:rsidRPr="00A55CCB">
        <w:rPr>
          <w:i/>
          <w:iCs/>
        </w:rPr>
        <w:t>interface</w:t>
      </w:r>
      <w:r w:rsidR="00A55CCB" w:rsidRPr="00A55CCB">
        <w:rPr>
          <w:i/>
          <w:iCs/>
        </w:rPr>
        <w:t>s</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7F3178">
        <w:t xml:space="preserve">soon </w:t>
      </w:r>
      <w:r w:rsidR="002E6F82">
        <w:t>will.</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An object symbol</w:t>
      </w:r>
      <w:r w:rsidR="00D57DE2">
        <w:t xml:space="preserve"> might</w:t>
      </w:r>
      <w:r>
        <w:t xml:space="preserve"> 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Each object</w:t>
      </w:r>
      <w:r w:rsidR="00D76387">
        <w:t xml:space="preserve"> might</w:t>
      </w:r>
      <w:r>
        <w:t xml:space="preserve"> </w:t>
      </w:r>
      <w:r w:rsidRPr="00D76387">
        <w:t xml:space="preserve">serve </w:t>
      </w:r>
      <w:r>
        <w:t>as another object’s class,</w:t>
      </w:r>
      <w:r w:rsidR="00A1730E">
        <w:t xml:space="preserve"> sort of </w:t>
      </w:r>
      <w:r w:rsidRPr="00A1730E">
        <w:t xml:space="preserve">functioning </w:t>
      </w:r>
      <w:r>
        <w:t xml:space="preserve">as its </w:t>
      </w:r>
      <w:r w:rsidRPr="00A1730E">
        <w:t>prototype</w:t>
      </w:r>
      <w:r>
        <w:t xml:space="preserve">. </w:t>
      </w:r>
      <w:r w:rsidR="003B6199">
        <w:t xml:space="preserve">Any </w:t>
      </w:r>
      <w:r>
        <w:t>object</w:t>
      </w:r>
      <w:r w:rsidR="00041EA8">
        <w:t xml:space="preserve"> might</w:t>
      </w:r>
      <w:r>
        <w:t xml:space="preserve"> also provide the interface for another object,</w:t>
      </w:r>
      <w:r w:rsidR="00E31162">
        <w:t xml:space="preserve"> which may give </w:t>
      </w:r>
      <w:r w:rsidR="00730B07">
        <w:t xml:space="preserve">another object the </w:t>
      </w:r>
      <w:r w:rsidR="00730B07" w:rsidRPr="00E31162">
        <w:t xml:space="preserve">same </w:t>
      </w:r>
      <w:r w:rsidR="00730B07">
        <w:t xml:space="preserve">exterior, </w:t>
      </w:r>
      <w:r w:rsidR="00E31162">
        <w:t xml:space="preserve">while it might be </w:t>
      </w:r>
      <w:r w:rsidR="00730B07">
        <w:t>different on the inside.</w:t>
      </w:r>
    </w:p>
    <w:p w:rsidR="00325961" w:rsidRDefault="00325961" w:rsidP="00F52573"/>
    <w:p w:rsidR="004F70E5" w:rsidRDefault="004F70E5" w:rsidP="00F52573">
      <w:r>
        <w:t xml:space="preserve">There is an idea for drawing the shapes with different line types, for </w:t>
      </w:r>
      <w:r w:rsidR="00050B55">
        <w:t>example:</w:t>
      </w:r>
      <w:r>
        <w:t xml:space="preserve"> dashed or dotted.</w:t>
      </w:r>
    </w:p>
    <w:p w:rsidR="004F70E5" w:rsidRPr="00F52573" w:rsidRDefault="004F70E5" w:rsidP="00F52573"/>
    <w:p w:rsidR="00325961" w:rsidRDefault="004F70E5" w:rsidP="00867683">
      <w:r>
        <w:t xml:space="preserve">One idea is that an object </w:t>
      </w:r>
      <w:r w:rsidR="0020528D" w:rsidRPr="004F70E5">
        <w:t xml:space="preserve">only </w:t>
      </w:r>
      <w:r w:rsidR="0020528D">
        <w:t>used as an object,</w:t>
      </w:r>
      <w:r w:rsidR="00325961">
        <w:t xml:space="preserve"> </w:t>
      </w:r>
      <w:r w:rsidR="00325961" w:rsidRPr="00DC1A8E">
        <w:rPr>
          <w:i/>
          <w:iCs/>
        </w:rPr>
        <w:t>not</w:t>
      </w:r>
      <w:r w:rsidR="00325961" w:rsidRPr="004F70E5">
        <w:t xml:space="preserve"> </w:t>
      </w:r>
      <w:r w:rsidR="00325961">
        <w:t>as a class or an interface</w:t>
      </w:r>
      <w:r>
        <w:t xml:space="preserve"> might be </w:t>
      </w:r>
      <w:r w:rsidR="00325961">
        <w:t xml:space="preserve">drawn with a </w:t>
      </w:r>
      <w:r w:rsidR="00325961" w:rsidRPr="00431F4A">
        <w:rPr>
          <w:i/>
          <w:iCs/>
        </w:rPr>
        <w:t>solid</w:t>
      </w:r>
      <w:r w:rsidR="00325961">
        <w:t xml:space="preserve">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4E0E3D" w:rsidP="00867683">
      <w:r>
        <w:t>The idea then is</w:t>
      </w:r>
      <w:r w:rsidR="008205F8" w:rsidRPr="008205F8">
        <w:t xml:space="preserve"> that </w:t>
      </w:r>
      <w:r w:rsidR="00707415">
        <w:t>i</w:t>
      </w:r>
      <w:r w:rsidR="00867683">
        <w:t xml:space="preserve">f an object symbol </w:t>
      </w:r>
      <w:r w:rsidR="003A4E24">
        <w:t>might</w:t>
      </w:r>
      <w:r w:rsidR="008205F8">
        <w:t xml:space="preserve"> </w:t>
      </w:r>
      <w:r w:rsidR="00867683">
        <w:t>only used as a class, it</w:t>
      </w:r>
      <w:r w:rsidR="00237607">
        <w:t xml:space="preserve"> </w:t>
      </w:r>
      <w:r w:rsidR="003A4E24">
        <w:t xml:space="preserve">may </w:t>
      </w:r>
      <w:r w:rsidR="00237607">
        <w:t xml:space="preserve">be </w:t>
      </w:r>
      <w:r w:rsidR="00867683">
        <w:t>drawn</w:t>
      </w:r>
      <w:r w:rsidR="00510E62">
        <w:t xml:space="preserve"> out</w:t>
      </w:r>
      <w:r w:rsidR="00867683">
        <w:t xml:space="preserve"> with </w:t>
      </w:r>
      <w:r w:rsidR="00325961">
        <w:t xml:space="preserve">a </w:t>
      </w:r>
      <w:r w:rsidR="00325961" w:rsidRPr="00431F4A">
        <w:rPr>
          <w:i/>
          <w:iCs/>
        </w:rPr>
        <w:t>d</w:t>
      </w:r>
      <w:r w:rsidR="00730B07" w:rsidRPr="00431F4A">
        <w:rPr>
          <w:i/>
          <w:iCs/>
        </w:rPr>
        <w:t>ashed</w:t>
      </w:r>
      <w:r w:rsidR="00730B07">
        <w:t xml:space="preserve">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E91709" w:rsidP="00E91709">
      <w:r>
        <w:t xml:space="preserve">An idea is also that </w:t>
      </w:r>
      <w:r w:rsidR="00730B07">
        <w:t>an ob</w:t>
      </w:r>
      <w:r w:rsidR="00BC1B56">
        <w:t>j</w:t>
      </w:r>
      <w:r w:rsidR="00730B07">
        <w:t>ect symbol</w:t>
      </w:r>
      <w:r>
        <w:t xml:space="preserve"> may </w:t>
      </w:r>
      <w:r w:rsidR="00730B07">
        <w:t xml:space="preserve">only </w:t>
      </w:r>
      <w:r>
        <w:t xml:space="preserve">be </w:t>
      </w:r>
      <w:r w:rsidR="00730B07">
        <w:t xml:space="preserve">used as an interface, </w:t>
      </w:r>
      <w:r w:rsidR="00730B07" w:rsidRPr="00E91709">
        <w:t>then</w:t>
      </w:r>
      <w:r>
        <w:rPr>
          <w:color w:val="FF0000"/>
        </w:rPr>
        <w:t xml:space="preserve"> </w:t>
      </w:r>
      <w:r w:rsidR="00730B07">
        <w:t>it</w:t>
      </w:r>
      <w:r>
        <w:t xml:space="preserve"> might be</w:t>
      </w:r>
      <w:r w:rsidR="00730B07">
        <w:t xml:space="preserve"> </w:t>
      </w:r>
      <w:r w:rsidR="002A0361">
        <w:t>traced</w:t>
      </w:r>
      <w:r w:rsidR="00730B07">
        <w:t xml:space="preserve"> with a </w:t>
      </w:r>
      <w:r w:rsidR="00730B07" w:rsidRPr="00431F4A">
        <w:rPr>
          <w:i/>
          <w:iCs/>
        </w:rPr>
        <w:t>dotted</w:t>
      </w:r>
      <w:r w:rsidR="00730B07">
        <w:t xml:space="preserve">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F52573"/>
    <w:p w:rsidR="006C0175" w:rsidRDefault="006C0175" w:rsidP="00F52573">
      <w:r>
        <w:t xml:space="preserve">There may be different ideas, for when it could be appropriate to </w:t>
      </w:r>
      <w:r w:rsidR="004F6065">
        <w:t xml:space="preserve">draw shapes with different types of </w:t>
      </w:r>
      <w:r>
        <w:t>line</w:t>
      </w:r>
      <w:r w:rsidR="004F6065">
        <w:t>s</w:t>
      </w:r>
      <w:r w:rsidR="00AA5017">
        <w:t>.</w:t>
      </w:r>
    </w:p>
    <w:p w:rsidR="006C0175" w:rsidRDefault="006C0175" w:rsidP="00F52573"/>
    <w:p w:rsidR="002059E9" w:rsidRDefault="004F6065" w:rsidP="00307EEE">
      <w:r>
        <w:t>Perhaps if</w:t>
      </w:r>
      <w:r w:rsidR="002059E9" w:rsidRPr="00212425">
        <w:rPr>
          <w:color w:val="FF0000"/>
        </w:rPr>
        <w:t xml:space="preserve"> </w:t>
      </w:r>
      <w:r w:rsidR="002059E9">
        <w:t>object symbols</w:t>
      </w:r>
      <w:r w:rsidR="00F854E3">
        <w:t xml:space="preserve"> would be</w:t>
      </w:r>
      <w:r w:rsidR="002059E9">
        <w:t xml:space="preserve"> used in </w:t>
      </w:r>
      <w:r w:rsidR="0020528D">
        <w:t>several</w:t>
      </w:r>
      <w:r w:rsidR="002059E9">
        <w:t xml:space="preserve"> ways, for instance as an object as well as other objects’ class, </w:t>
      </w:r>
      <w:r w:rsidR="00661F69">
        <w:t xml:space="preserve">the </w:t>
      </w:r>
      <w:r w:rsidR="0020528D">
        <w:t xml:space="preserve">symbol </w:t>
      </w:r>
      <w:r w:rsidR="00F854E3">
        <w:t xml:space="preserve">might </w:t>
      </w:r>
      <w:r w:rsidR="002059E9" w:rsidRPr="00F854E3">
        <w:t>get</w:t>
      </w:r>
      <w:r w:rsidR="002059E9" w:rsidRPr="008F16F6">
        <w:rPr>
          <w:color w:val="FF0000"/>
        </w:rPr>
        <w:t xml:space="preserve"> </w:t>
      </w:r>
      <w:r w:rsidR="0020528D">
        <w:t>multiple borders</w:t>
      </w:r>
      <w:r w:rsidR="002059E9">
        <w:t>. Here</w:t>
      </w:r>
      <w:r w:rsidR="00856D50">
        <w:t xml:space="preserve"> might be</w:t>
      </w:r>
      <w:r w:rsidR="00B33C4C">
        <w:t xml:space="preserve"> </w:t>
      </w:r>
      <w:r w:rsidR="002059E9">
        <w:t xml:space="preserve">an object symbol </w:t>
      </w:r>
      <w:r w:rsidR="00582EE9">
        <w:t>that</w:t>
      </w:r>
      <w:r w:rsidR="00856D50">
        <w:t xml:space="preserve"> might </w:t>
      </w:r>
      <w:r w:rsidR="00582EE9" w:rsidRPr="00856D50">
        <w:t>serve</w:t>
      </w:r>
      <w:r w:rsidR="00856D50" w:rsidRPr="00856D50">
        <w:t xml:space="preserve"> </w:t>
      </w:r>
      <w:r w:rsidR="002059E9">
        <w:t>as both an object and a class:</w:t>
      </w:r>
    </w:p>
    <w:p w:rsidR="008222C1" w:rsidRDefault="008222C1" w:rsidP="00307EEE"/>
    <w:p w:rsidR="00307EEE" w:rsidRPr="00F52573" w:rsidRDefault="00613111" w:rsidP="00A17879">
      <w:pPr>
        <w:ind w:left="852"/>
      </w:pPr>
      <w:r w:rsidRPr="00F52573">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4E7274">
        <w:t xml:space="preserve">That way </w:t>
      </w:r>
      <w:r w:rsidR="00307EEE">
        <w:t>an object symbol</w:t>
      </w:r>
      <w:r w:rsidR="004E7274">
        <w:t xml:space="preserve"> could</w:t>
      </w:r>
      <w:r w:rsidR="00307EEE">
        <w:t xml:space="preserve"> </w:t>
      </w:r>
      <w:r w:rsidR="004E7274" w:rsidRPr="004E7274">
        <w:t xml:space="preserve">also </w:t>
      </w:r>
      <w:r w:rsidR="008222C1">
        <w:t xml:space="preserve">have </w:t>
      </w:r>
      <w:r w:rsidR="00307EEE">
        <w:t xml:space="preserve">three </w:t>
      </w:r>
      <w:r w:rsidR="0020528D">
        <w:t>borders</w:t>
      </w:r>
      <w:r w:rsidR="004E7274">
        <w:t xml:space="preserve"> at the same time or more</w:t>
      </w:r>
      <w:r w:rsidR="004E7274">
        <w:rPr>
          <w:color w:val="FF0000"/>
        </w:rPr>
        <w:t>.</w:t>
      </w:r>
    </w:p>
    <w:p w:rsidR="00707415" w:rsidRPr="00F52573" w:rsidRDefault="00707415" w:rsidP="00F52573"/>
    <w:p w:rsidR="00902A0D" w:rsidRDefault="00902A0D" w:rsidP="00707415">
      <w:r>
        <w:t>It is no</w:t>
      </w:r>
      <w:r w:rsidR="00971524">
        <w:t>t a hard rule</w:t>
      </w:r>
      <w:r>
        <w:t xml:space="preserve"> to </w:t>
      </w:r>
      <w:r w:rsidR="00971524">
        <w:t xml:space="preserve">use </w:t>
      </w:r>
      <w:r>
        <w:t xml:space="preserve">different line types for symbols. </w:t>
      </w:r>
      <w:r w:rsidR="001F3CB3">
        <w:t>But it may work intuitively to use different line types.</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843801" w:rsidRDefault="00843801" w:rsidP="00843801">
      <w:r>
        <w:t xml:space="preserve">The </w:t>
      </w:r>
      <w:r w:rsidR="00D66FF7">
        <w:t xml:space="preserve">idea for </w:t>
      </w:r>
      <w:r>
        <w:t>symbol</w:t>
      </w:r>
      <w:r w:rsidR="00D66FF7">
        <w:t>s drawn with different</w:t>
      </w:r>
      <w:r>
        <w:t xml:space="preserve"> line type</w:t>
      </w:r>
      <w:r w:rsidR="00D66FF7">
        <w:t>s</w:t>
      </w:r>
      <w:r>
        <w:t xml:space="preserve"> might also be applied to </w:t>
      </w:r>
      <w:r w:rsidRPr="00193C0F">
        <w:rPr>
          <w:i/>
          <w:iCs/>
        </w:rPr>
        <w:t>command</w:t>
      </w:r>
      <w:r>
        <w:t xml:space="preserve"> symbols.</w:t>
      </w:r>
    </w:p>
    <w:p w:rsidR="00843801" w:rsidRPr="00843801" w:rsidRDefault="00843801" w:rsidP="00843801"/>
    <w:p w:rsidR="002B3221" w:rsidRDefault="002B3221" w:rsidP="002B3221">
      <w:r>
        <w:t>A diamond</w:t>
      </w:r>
      <w:r w:rsidR="00E5108A">
        <w:t>, which might</w:t>
      </w:r>
      <w:r w:rsidR="00FB0EA4">
        <w:t xml:space="preserve"> represent</w:t>
      </w:r>
      <w:r w:rsidR="00E5108A">
        <w:t xml:space="preserve"> a command</w:t>
      </w:r>
      <w:r w:rsidR="00A17879">
        <w:t xml:space="preserve"> </w:t>
      </w:r>
      <w:r w:rsidR="00E5108A">
        <w:t xml:space="preserve">call, </w:t>
      </w:r>
      <w:r w:rsidR="00FB0EA4">
        <w:t xml:space="preserve">may </w:t>
      </w:r>
      <w:r w:rsidR="00E5108A">
        <w:t>regularly</w:t>
      </w:r>
      <w:r w:rsidR="00A17879">
        <w:t xml:space="preserve"> </w:t>
      </w:r>
      <w:r w:rsidR="00A17879" w:rsidRPr="007F1E55">
        <w:t>be</w:t>
      </w:r>
      <w:r w:rsidRPr="007F1E55">
        <w:t xml:space="preserve"> </w:t>
      </w:r>
      <w:r>
        <w:t>an instance of a square, that</w:t>
      </w:r>
      <w:r w:rsidR="00E5108A">
        <w:t xml:space="preserve"> could </w:t>
      </w:r>
      <w:r w:rsidRPr="00E5108A">
        <w:t>represent</w:t>
      </w:r>
      <w:r w:rsidRPr="00B843C3">
        <w:rPr>
          <w:color w:val="FF0000"/>
        </w:rPr>
        <w:t xml:space="preserve"> </w:t>
      </w:r>
      <w:r w:rsidR="00B96AED">
        <w:t xml:space="preserve">a command </w:t>
      </w:r>
      <w:r>
        <w:t xml:space="preserve">definition. </w:t>
      </w:r>
      <w:r w:rsidR="00E65D39">
        <w:t xml:space="preserve">When the </w:t>
      </w:r>
      <w:r>
        <w:t>diamond</w:t>
      </w:r>
      <w:r w:rsidR="00C43EB4">
        <w:t xml:space="preserve"> </w:t>
      </w:r>
      <w:r w:rsidR="00E65D39">
        <w:t xml:space="preserve">is </w:t>
      </w:r>
      <w:r>
        <w:t>an instantiation,</w:t>
      </w:r>
      <w:r w:rsidR="00E65D39">
        <w:t xml:space="preserve"> it might be seen as somewhat of an </w:t>
      </w:r>
      <w:r w:rsidRPr="00E65D39">
        <w:rPr>
          <w:i/>
          <w:iCs/>
        </w:rPr>
        <w:t>object</w:t>
      </w:r>
      <w:r>
        <w:t xml:space="preserve">. But a diamond </w:t>
      </w:r>
      <w:r w:rsidR="000C4903">
        <w:t>might</w:t>
      </w:r>
      <w:r>
        <w:t xml:space="preserve"> sometimes </w:t>
      </w:r>
      <w:r w:rsidRPr="006B6A2A">
        <w:t xml:space="preserve">be </w:t>
      </w:r>
      <w:r>
        <w:t xml:space="preserve">used as a definition, so </w:t>
      </w:r>
      <w:r w:rsidR="00E65D39">
        <w:t xml:space="preserve">more like </w:t>
      </w:r>
      <w:r>
        <w:t xml:space="preserve">a </w:t>
      </w:r>
      <w:r w:rsidRPr="00E65D39">
        <w:rPr>
          <w:i/>
          <w:iCs/>
        </w:rPr>
        <w:t>class</w:t>
      </w:r>
      <w:r>
        <w:t>.</w:t>
      </w:r>
      <w:r w:rsidR="00E65D39">
        <w:t xml:space="preserve"> When </w:t>
      </w:r>
      <w:r>
        <w:t xml:space="preserve">a diamond </w:t>
      </w:r>
      <w:r w:rsidRPr="00E65D39">
        <w:t xml:space="preserve">is </w:t>
      </w:r>
      <w:r>
        <w:t xml:space="preserve">used as a definition, </w:t>
      </w:r>
      <w:r w:rsidR="00CD38CB">
        <w:t>i</w:t>
      </w:r>
      <w:r>
        <w:t>t</w:t>
      </w:r>
      <w:r w:rsidR="00E65D39">
        <w:t xml:space="preserve"> might</w:t>
      </w:r>
      <w:r>
        <w:t xml:space="preserve"> be seen as both an object and a class, </w:t>
      </w:r>
      <w:r w:rsidR="00DC579C">
        <w:t xml:space="preserve">so it might be given </w:t>
      </w:r>
      <w:r>
        <w:t>both a solid border as well as a dashed border, indicating that i</w:t>
      </w:r>
      <w:r w:rsidR="0083286A">
        <w:t>t</w:t>
      </w:r>
      <w:r>
        <w:t xml:space="preserve"> </w:t>
      </w:r>
      <w:r w:rsidR="00DC579C">
        <w:t xml:space="preserve">might be </w:t>
      </w:r>
      <w:r>
        <w:t>both an instance, and a definition.</w:t>
      </w:r>
    </w:p>
    <w:p w:rsidR="002B3221" w:rsidRPr="00F52573" w:rsidRDefault="002B3221" w:rsidP="00F52573"/>
    <w:p w:rsidR="002B3221" w:rsidRPr="00F52573" w:rsidRDefault="00613111" w:rsidP="00A17879">
      <w:pPr>
        <w:ind w:left="852"/>
      </w:pPr>
      <w:r w:rsidRPr="00F52573">
        <w:rPr>
          <w:noProof/>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Pr="00F52573" w:rsidRDefault="002B3221" w:rsidP="00F52573"/>
    <w:p w:rsidR="002B3221" w:rsidRDefault="00CC1B7A" w:rsidP="00707415">
      <w:r>
        <w:t>If</w:t>
      </w:r>
      <w:r w:rsidR="00C67A86">
        <w:t xml:space="preserve"> </w:t>
      </w:r>
      <w:r w:rsidR="002B3221">
        <w:t xml:space="preserve">a diamond </w:t>
      </w:r>
      <w:r w:rsidR="00C67A86">
        <w:t>would</w:t>
      </w:r>
      <w:r w:rsidR="002B3221" w:rsidRPr="00C67A86">
        <w:t xml:space="preserve"> </w:t>
      </w:r>
      <w:r w:rsidR="002B3221">
        <w:t>not used as a definition, it</w:t>
      </w:r>
      <w:r w:rsidR="00D46FE8">
        <w:t xml:space="preserve"> might</w:t>
      </w:r>
      <w:r w:rsidR="002B3221">
        <w:t xml:space="preserve"> </w:t>
      </w:r>
      <w:r w:rsidR="002B3221" w:rsidRPr="00D46FE8">
        <w:t xml:space="preserve">only get </w:t>
      </w:r>
      <w:r w:rsidR="002B3221">
        <w:t>a solid border.</w:t>
      </w:r>
    </w:p>
    <w:p w:rsidR="002B3221" w:rsidRPr="00F52573" w:rsidRDefault="002B3221" w:rsidP="00F52573"/>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Pr="00F52573" w:rsidRDefault="002B3221" w:rsidP="00F52573"/>
    <w:p w:rsidR="00E035B8" w:rsidRDefault="00CD38CB" w:rsidP="00707415">
      <w:r>
        <w:t>It might be that a</w:t>
      </w:r>
      <w:r w:rsidR="00E035B8">
        <w:t xml:space="preserve"> diamond</w:t>
      </w:r>
      <w:r w:rsidR="00354A2C">
        <w:t xml:space="preserve"> </w:t>
      </w:r>
      <w:r>
        <w:t xml:space="preserve">would </w:t>
      </w:r>
      <w:r w:rsidR="00354A2C">
        <w:t>regularly</w:t>
      </w:r>
      <w:r w:rsidR="00E035B8">
        <w:t xml:space="preserve"> </w:t>
      </w:r>
      <w:r w:rsidR="00354A2C" w:rsidRPr="00CD38CB">
        <w:t xml:space="preserve">be </w:t>
      </w:r>
      <w:r w:rsidR="00E035B8">
        <w:t>considered an instance, so it</w:t>
      </w:r>
      <w:r w:rsidR="00354A2C">
        <w:t xml:space="preserve"> might often have</w:t>
      </w:r>
      <w:r w:rsidR="00E035B8">
        <w:t xml:space="preserve"> </w:t>
      </w:r>
      <w:r w:rsidR="00A869C0">
        <w:t>its solid border</w:t>
      </w:r>
      <w:r w:rsidR="00403E12">
        <w:t>. I</w:t>
      </w:r>
      <w:r w:rsidR="00354A2C">
        <w:t xml:space="preserve">t </w:t>
      </w:r>
      <w:r w:rsidR="00403E12">
        <w:t xml:space="preserve">may </w:t>
      </w:r>
      <w:r w:rsidR="00354A2C">
        <w:t>be</w:t>
      </w:r>
      <w:r w:rsidR="00403E12">
        <w:t>come</w:t>
      </w:r>
      <w:r w:rsidR="00354A2C">
        <w:t xml:space="preserve"> uncommon for it to </w:t>
      </w:r>
      <w:r w:rsidR="00354A2C" w:rsidRPr="00354A2C">
        <w:t xml:space="preserve">be </w:t>
      </w:r>
      <w:r w:rsidR="00A869C0">
        <w:t xml:space="preserve">drawn with </w:t>
      </w:r>
      <w:r w:rsidR="00A869C0" w:rsidRPr="00CD38CB">
        <w:t xml:space="preserve">just </w:t>
      </w:r>
      <w:r w:rsidR="00A869C0">
        <w:t>a dashed line:</w:t>
      </w:r>
    </w:p>
    <w:p w:rsidR="00A869C0" w:rsidRPr="00F52573" w:rsidRDefault="00A869C0" w:rsidP="00F52573"/>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Pr="00F52573" w:rsidRDefault="00E035B8" w:rsidP="00F52573"/>
    <w:p w:rsidR="002B3221" w:rsidRDefault="002B3221" w:rsidP="00707415">
      <w:r>
        <w:t>A square</w:t>
      </w:r>
      <w:r w:rsidR="00AF78D5">
        <w:t xml:space="preserve"> may be used often </w:t>
      </w:r>
      <w:r>
        <w:t>as a definition.</w:t>
      </w:r>
      <w:r w:rsidR="00AF78D5">
        <w:t xml:space="preserve"> The idea was proposed that</w:t>
      </w:r>
      <w:r>
        <w:t xml:space="preserve"> </w:t>
      </w:r>
      <w:r w:rsidR="00AF78D5">
        <w:t xml:space="preserve">if </w:t>
      </w:r>
      <w:r>
        <w:t xml:space="preserve">something </w:t>
      </w:r>
      <w:r w:rsidR="00AF78D5" w:rsidRPr="00AF78D5">
        <w:t xml:space="preserve">may be </w:t>
      </w:r>
      <w:r>
        <w:t>used as a definition, it</w:t>
      </w:r>
      <w:r w:rsidR="00AF78D5">
        <w:t xml:space="preserve"> might be drawn with a dashed line:</w:t>
      </w:r>
    </w:p>
    <w:p w:rsidR="00A869C0" w:rsidRPr="00F52573" w:rsidRDefault="00A869C0" w:rsidP="00F52573"/>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F52573"/>
    <w:p w:rsidR="00702314" w:rsidRDefault="00947790" w:rsidP="00F52573">
      <w:r>
        <w:t xml:space="preserve">A choice could be to </w:t>
      </w:r>
      <w:r w:rsidR="00702314">
        <w:t xml:space="preserve">not do this, </w:t>
      </w:r>
      <w:r w:rsidR="0033192B">
        <w:t xml:space="preserve">because otherwise you might mostly see </w:t>
      </w:r>
      <w:r w:rsidR="00702314">
        <w:t>dashed squares</w:t>
      </w:r>
      <w:r w:rsidR="0033192B">
        <w:t>,</w:t>
      </w:r>
    </w:p>
    <w:p w:rsidR="002B3221" w:rsidRPr="00F52573" w:rsidRDefault="002B3221" w:rsidP="00F52573"/>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F52573"/>
    <w:p w:rsidR="009C3B94" w:rsidRDefault="009C3B94" w:rsidP="00F52573">
      <w:r>
        <w:t xml:space="preserve">It depends on </w:t>
      </w:r>
      <w:r w:rsidR="00DD1F72">
        <w:t>a</w:t>
      </w:r>
      <w:r>
        <w:t xml:space="preserve"> choice whether to use this notation of borders with different line styles and what to do with them.</w:t>
      </w:r>
    </w:p>
    <w:p w:rsidR="007B6E67" w:rsidRDefault="007B6E67" w:rsidP="00F52573"/>
    <w:p w:rsidR="007B6E67" w:rsidRDefault="007B6E67" w:rsidP="007B6E67">
      <w:r>
        <w:t xml:space="preserve">There </w:t>
      </w:r>
      <w:r w:rsidR="0018215B">
        <w:t xml:space="preserve">may be </w:t>
      </w:r>
      <w:r>
        <w:t>a</w:t>
      </w:r>
      <w:r w:rsidR="0018215B">
        <w:t xml:space="preserve"> </w:t>
      </w:r>
      <w:r>
        <w:t xml:space="preserve">case where </w:t>
      </w:r>
      <w:r w:rsidR="0018215B">
        <w:t xml:space="preserve">you might draw a </w:t>
      </w:r>
      <w:r>
        <w:t xml:space="preserve">square with </w:t>
      </w:r>
      <w:r w:rsidR="0018215B">
        <w:t xml:space="preserve">a </w:t>
      </w:r>
      <w:r>
        <w:t>dashed line</w:t>
      </w:r>
      <w:r w:rsidR="0018215B">
        <w:t>, but the suggestion for this may have to wait until later in this text.</w:t>
      </w:r>
    </w:p>
    <w:p w:rsidR="009C3B94" w:rsidRPr="00F52573" w:rsidRDefault="009C3B94" w:rsidP="00F52573"/>
    <w:p w:rsidR="009A79BC" w:rsidRDefault="009A79BC" w:rsidP="00707415">
      <w:r>
        <w:t xml:space="preserve">Both </w:t>
      </w:r>
      <w:r w:rsidR="00D715A9">
        <w:t>command</w:t>
      </w:r>
      <w:r>
        <w:t xml:space="preserve"> calls and </w:t>
      </w:r>
      <w:r w:rsidR="00D715A9">
        <w:t>command</w:t>
      </w:r>
      <w:r>
        <w:t xml:space="preserve"> definitions</w:t>
      </w:r>
      <w:r w:rsidR="00703016">
        <w:t xml:space="preserve"> may</w:t>
      </w:r>
      <w:r>
        <w:t xml:space="preserve"> function as the interface for another </w:t>
      </w:r>
      <w:r w:rsidR="00D715A9">
        <w:t>command</w:t>
      </w:r>
      <w:r>
        <w:t xml:space="preserve"> symbol</w:t>
      </w:r>
      <w:r w:rsidRPr="00E31C01">
        <w:t xml:space="preserve">. In that case </w:t>
      </w:r>
      <w:r w:rsidR="00E31C01" w:rsidRPr="00E31C01">
        <w:t xml:space="preserve">the idea is that </w:t>
      </w:r>
      <w:r>
        <w:t xml:space="preserve">the </w:t>
      </w:r>
      <w:r w:rsidR="00D715A9">
        <w:t>command</w:t>
      </w:r>
      <w:r>
        <w:t xml:space="preserve"> symbol</w:t>
      </w:r>
      <w:r w:rsidR="00E31C01">
        <w:t xml:space="preserve"> </w:t>
      </w:r>
      <w:r w:rsidR="009B737A">
        <w:t xml:space="preserve">may </w:t>
      </w:r>
      <w:r w:rsidR="002B3221">
        <w:t>get</w:t>
      </w:r>
      <w:r>
        <w:t xml:space="preserve"> an extra dotted border.</w:t>
      </w:r>
    </w:p>
    <w:p w:rsidR="009A79BC" w:rsidRPr="00F52573" w:rsidRDefault="009A79BC" w:rsidP="00F52573"/>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Pr="00F52573" w:rsidRDefault="001775C9" w:rsidP="00F52573"/>
    <w:p w:rsidR="001775C9" w:rsidRDefault="00034F47" w:rsidP="001775C9">
      <w:r>
        <w:t>It could be an idea that if a</w:t>
      </w:r>
      <w:r w:rsidR="001775C9">
        <w:t xml:space="preserve"> square</w:t>
      </w:r>
      <w:r>
        <w:t xml:space="preserve"> functions</w:t>
      </w:r>
      <w:r w:rsidR="001775C9">
        <w:t xml:space="preserve"> </w:t>
      </w:r>
      <w:r w:rsidR="001775C9" w:rsidRPr="00034F47">
        <w:t xml:space="preserve">solely </w:t>
      </w:r>
      <w:r w:rsidR="001775C9">
        <w:t xml:space="preserve">as an interface for a </w:t>
      </w:r>
      <w:r w:rsidR="00D715A9">
        <w:t>command</w:t>
      </w:r>
      <w:r>
        <w:t xml:space="preserve">, the square might be drawn with </w:t>
      </w:r>
      <w:r w:rsidR="001775C9" w:rsidRPr="00034F47">
        <w:t xml:space="preserve">just </w:t>
      </w:r>
      <w:r w:rsidR="001775C9">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Pr="00F52573" w:rsidRDefault="001775C9" w:rsidP="00F52573"/>
    <w:p w:rsidR="00A869C0" w:rsidRDefault="002C4461" w:rsidP="00826376">
      <w:r>
        <w:t xml:space="preserve">It is suggested here, that a diamond might so often be </w:t>
      </w:r>
      <w:r w:rsidR="00E05821">
        <w:t xml:space="preserve">thought of as </w:t>
      </w:r>
      <w:r>
        <w:t xml:space="preserve">an instance, that you might choose to always show the solid line and not </w:t>
      </w:r>
      <w:r w:rsidR="00A869C0">
        <w:t>draw</w:t>
      </w:r>
      <w:r>
        <w:t xml:space="preserve"> it </w:t>
      </w:r>
      <w:r w:rsidR="00A869C0">
        <w:t xml:space="preserve">with </w:t>
      </w:r>
      <w:r w:rsidR="00A869C0" w:rsidRPr="002C4461">
        <w:t xml:space="preserve">just </w:t>
      </w:r>
      <w:r w:rsidR="00A869C0">
        <w:t>a dotted border:</w:t>
      </w:r>
    </w:p>
    <w:p w:rsidR="00A869C0" w:rsidRPr="00F52573" w:rsidRDefault="00A869C0" w:rsidP="00F52573"/>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9A79BC" w:rsidRPr="00F52573" w:rsidRDefault="009A79BC" w:rsidP="00F52573"/>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B12D81" w:rsidRPr="00F52573" w:rsidRDefault="00B12D81" w:rsidP="00F52573"/>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B12D81" w:rsidRPr="00F52573" w:rsidRDefault="00B12D81" w:rsidP="00F52573"/>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9252DE" w:rsidRPr="00F52573" w:rsidRDefault="009252DE" w:rsidP="00F52573"/>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might </w:t>
      </w:r>
      <w:r w:rsidR="00E642FD">
        <w:t xml:space="preserve">express that the values </w:t>
      </w:r>
      <w:r>
        <w:t xml:space="preserve">of the two objects </w:t>
      </w:r>
      <w:r w:rsidR="00E642FD">
        <w:t xml:space="preserve">are the same. </w:t>
      </w:r>
      <w:r w:rsidR="009252DE">
        <w:t>It</w:t>
      </w:r>
      <w:r w:rsidR="00E642FD">
        <w:t xml:space="preserve"> could 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Connection between command symbols</w:t>
      </w:r>
      <w:r w:rsidR="00C77B27">
        <w:t xml:space="preserve"> could be parallel</w:t>
      </w:r>
      <w:r>
        <w:t xml:space="preserve"> to connections between object symbols. Command symbols</w:t>
      </w:r>
      <w:r w:rsidR="00615263">
        <w:t xml:space="preserve"> might</w:t>
      </w:r>
      <w:r>
        <w:t xml:space="preserve"> be connected with different types of lines.</w:t>
      </w:r>
    </w:p>
    <w:p w:rsidR="00AC6F8F" w:rsidRPr="00F52573" w:rsidRDefault="00AC6F8F" w:rsidP="00F52573"/>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represent. The solid line</w:t>
      </w:r>
      <w:r w:rsidR="00F7059A">
        <w:t xml:space="preserve"> might be</w:t>
      </w:r>
      <w:r w:rsidR="00AC6F8F">
        <w:t xml:space="preserve"> called an </w:t>
      </w:r>
      <w:r w:rsidR="00AC6F8F">
        <w:rPr>
          <w:i/>
          <w:iCs/>
        </w:rPr>
        <w:t xml:space="preserve">object line </w:t>
      </w:r>
      <w:r w:rsidR="00AC6F8F">
        <w:t xml:space="preserve">in this case, </w:t>
      </w:r>
      <w:r w:rsidR="00AC6F8F" w:rsidRPr="005D027D">
        <w:t>because</w:t>
      </w:r>
      <w:r w:rsidR="00AC6F8F">
        <w:t xml:space="preserve"> it </w:t>
      </w:r>
      <w:r w:rsidR="005D027D">
        <w:t xml:space="preserve">might be used to </w:t>
      </w:r>
      <w:r w:rsidR="00AC6F8F" w:rsidRPr="005D027D">
        <w:t xml:space="preserve">point out </w:t>
      </w:r>
      <w:r w:rsidR="00AC6F8F">
        <w:t xml:space="preserve">the </w:t>
      </w:r>
      <w:r w:rsidR="00C809CC">
        <w:t xml:space="preserve">command </w:t>
      </w:r>
      <w:r w:rsidR="00AC6F8F">
        <w:t>object.</w:t>
      </w:r>
      <w:r w:rsidR="00C809CC">
        <w:t xml:space="preserve"> </w:t>
      </w:r>
      <w:r w:rsidR="00AC6F8F">
        <w:t>It</w:t>
      </w:r>
      <w:r w:rsidR="005F0C2E">
        <w:t xml:space="preserve"> might be more common for</w:t>
      </w:r>
      <w:r w:rsidR="00AC6F8F">
        <w:t xml:space="preserve"> squares</w:t>
      </w:r>
      <w:r w:rsidR="005F0C2E">
        <w:t xml:space="preserve"> to be </w:t>
      </w:r>
      <w:r w:rsidR="00AC6F8F">
        <w:t xml:space="preserve">connected </w:t>
      </w:r>
      <w:r w:rsidR="00C809CC">
        <w:t>by</w:t>
      </w:r>
      <w:r w:rsidR="00AC6F8F">
        <w:t xml:space="preserve"> object lines</w:t>
      </w:r>
      <w:r w:rsidR="005F0C2E">
        <w:t xml:space="preserve"> than diamonds. A square connected with an object line might depict </w:t>
      </w:r>
      <w:r w:rsidR="00AC6F8F">
        <w:t>a command reference: a reference to a command definition.</w:t>
      </w:r>
      <w:r w:rsidR="00C809CC">
        <w:t xml:space="preserve"> </w:t>
      </w:r>
      <w:r w:rsidR="005F0C2E">
        <w:t>A</w:t>
      </w:r>
      <w:r w:rsidR="00AC6F8F">
        <w:t xml:space="preserve"> diamond</w:t>
      </w:r>
      <w:r w:rsidR="005F0C2E">
        <w:t xml:space="preserve"> migh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AC6F8F" w:rsidP="00F52573"/>
    <w:p w:rsidR="00AC6F8F" w:rsidRDefault="00563DC2" w:rsidP="00DA10B6">
      <w:r>
        <w:t xml:space="preserve">Command symbols might be connected by a dashed line. This </w:t>
      </w:r>
      <w:r w:rsidR="00A77B8A">
        <w:t xml:space="preserve">may be used as </w:t>
      </w:r>
      <w:r w:rsidR="00DA10B6">
        <w:t>indicat</w:t>
      </w:r>
      <w:r w:rsidR="00A77B8A">
        <w:t>ion</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 or definition,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 The dashed line</w:t>
      </w:r>
      <w:r w:rsidR="00AE65F9">
        <w:t xml:space="preserve"> could be </w:t>
      </w:r>
      <w:r w:rsidR="00AC6F8F">
        <w:t xml:space="preserve">called a </w:t>
      </w:r>
      <w:r w:rsidR="00AC6F8F">
        <w:rPr>
          <w:i/>
        </w:rPr>
        <w:t xml:space="preserve">definition </w:t>
      </w:r>
      <w:r w:rsidR="00AC6F8F" w:rsidRPr="00F42C64">
        <w:rPr>
          <w:i/>
        </w:rPr>
        <w:t xml:space="preserve">line </w:t>
      </w:r>
      <w:r w:rsidR="00AC6F8F">
        <w:t xml:space="preserve">in this case, </w:t>
      </w:r>
      <w:r w:rsidR="00AC6F8F" w:rsidRPr="004361F4">
        <w:t xml:space="preserve">because </w:t>
      </w:r>
      <w:r w:rsidR="00AC6F8F">
        <w:t xml:space="preserve">it </w:t>
      </w:r>
      <w:r w:rsidR="004361F4">
        <w:t xml:space="preserve">seems to </w:t>
      </w:r>
      <w:r w:rsidR="00AC6F8F" w:rsidRPr="004361F4">
        <w:t xml:space="preserve">points out </w:t>
      </w:r>
      <w:r w:rsidR="00AC6F8F">
        <w:t>the definition of the command.</w:t>
      </w:r>
    </w:p>
    <w:p w:rsidR="00AC6F8F" w:rsidRPr="00F52573" w:rsidRDefault="00AC6F8F" w:rsidP="00F52573"/>
    <w:p w:rsidR="00AC6F8F" w:rsidRDefault="00AC6F8F" w:rsidP="00AC6F8F">
      <w:r>
        <w:t xml:space="preserve">It </w:t>
      </w:r>
      <w:r w:rsidR="00944FB9">
        <w:t xml:space="preserve">may be more common for </w:t>
      </w:r>
      <w:r>
        <w:t xml:space="preserve">a diamond, an executable object, </w:t>
      </w:r>
      <w:r w:rsidR="00944FB9">
        <w:t xml:space="preserve">to </w:t>
      </w:r>
      <w:r>
        <w:t>point out a square</w:t>
      </w:r>
      <w:r w:rsidR="00C809CC">
        <w:t>, the definition of the command</w:t>
      </w:r>
      <w:r>
        <w:t>. In that case the diamond</w:t>
      </w:r>
      <w:r w:rsidR="00DB75C8">
        <w:t xml:space="preserve"> might </w:t>
      </w:r>
      <w:r w:rsidR="00DB75C8" w:rsidRPr="00DB75C8">
        <w:t>be</w:t>
      </w:r>
      <w:r w:rsidRPr="00DB75C8">
        <w:t xml:space="preserve"> </w:t>
      </w:r>
      <w:r>
        <w:t>a replica of the definition, but it</w:t>
      </w:r>
      <w:r w:rsidR="00DB75C8">
        <w:t xml:space="preserve"> could that it would be</w:t>
      </w:r>
      <w:r>
        <w:t xml:space="preserve"> its own </w:t>
      </w:r>
      <w:r w:rsidRPr="00DB75C8">
        <w:t>individual</w:t>
      </w:r>
      <w:r w:rsidRPr="008E3D7E">
        <w:rPr>
          <w:color w:val="FF0000"/>
        </w:rPr>
        <w:t xml:space="preserve"> </w:t>
      </w:r>
      <w:r>
        <w:t>object. Dashed lines</w:t>
      </w:r>
      <w:r w:rsidR="00CF120A">
        <w:t xml:space="preserve"> might</w:t>
      </w:r>
      <w:r>
        <w:t xml:space="preserve"> however </w:t>
      </w:r>
      <w:r w:rsidRPr="00CF120A">
        <w:t>be freely</w:t>
      </w:r>
      <w:r w:rsidRPr="00FA0487">
        <w:rPr>
          <w:color w:val="FF0000"/>
        </w:rPr>
        <w:t xml:space="preserve"> </w:t>
      </w:r>
      <w:r>
        <w:t xml:space="preserve">used to connect </w:t>
      </w:r>
      <w:r w:rsidRPr="00CF120A">
        <w:t xml:space="preserve">any </w:t>
      </w:r>
      <w:r>
        <w:t>t</w:t>
      </w:r>
      <w:r w:rsidR="00C809CC">
        <w:t>wo command symbols to each</w:t>
      </w:r>
      <w:r w:rsidR="00FA0487">
        <w:t xml:space="preserve"> </w:t>
      </w:r>
      <w:r w:rsidR="00C809CC">
        <w:t>other, to indicate mutuality of definition.</w:t>
      </w:r>
    </w:p>
    <w:p w:rsidR="001F5E58" w:rsidRPr="00F52573" w:rsidRDefault="001F5E58" w:rsidP="00F52573"/>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F52573">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661F69">
        <w:t xml:space="preserve">an </w:t>
      </w:r>
      <w:r>
        <w:t>interface line.</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xml:space="preserve">. When drawing out the diagram in </w:t>
      </w:r>
      <w:r w:rsidR="00A35D6B">
        <w:t xml:space="preserve">a </w:t>
      </w:r>
      <w:r>
        <w:t>way</w:t>
      </w:r>
      <w:r w:rsidR="00A35D6B">
        <w:t xml:space="preserve"> demonstrated</w:t>
      </w:r>
      <w:r>
        <w:t xml:space="preserve"> </w:t>
      </w:r>
      <w:r w:rsidR="007635DF">
        <w:t xml:space="preserve">above,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 xml:space="preserve">Drawing dashed lines this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A line</w:t>
      </w:r>
      <w:r w:rsidR="009B60E0">
        <w:t xml:space="preserve"> might have</w:t>
      </w:r>
      <w:r>
        <w:t xml:space="preserve"> direction. The direction of a line </w:t>
      </w:r>
      <w:r w:rsidR="006D1EBC" w:rsidRPr="006D1EBC">
        <w:t xml:space="preserve">could </w:t>
      </w:r>
      <w:r w:rsidRPr="006D1EBC">
        <w:t xml:space="preserve">be </w:t>
      </w:r>
      <w:r>
        <w:t>expressed with an access mark:</w:t>
      </w:r>
    </w:p>
    <w:p w:rsidR="00E32500" w:rsidRPr="00F52573" w:rsidRDefault="00E32500" w:rsidP="00F52573"/>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Pr="00F52573" w:rsidRDefault="00585F37" w:rsidP="00F52573"/>
    <w:p w:rsidR="00585F37" w:rsidRDefault="00585F37" w:rsidP="00585F37">
      <w:r>
        <w:t xml:space="preserve">The direction </w:t>
      </w:r>
      <w:r w:rsidR="002E25D2">
        <w:t xml:space="preserve">would go </w:t>
      </w:r>
      <w:r>
        <w:t xml:space="preserve">from symbol </w:t>
      </w:r>
      <w:r w:rsidRPr="008049D7">
        <w:rPr>
          <w:b/>
          <w:bCs/>
        </w:rPr>
        <w:t>A</w:t>
      </w:r>
      <w:r>
        <w:t xml:space="preserve"> to symbol </w:t>
      </w:r>
      <w:r w:rsidRPr="008049D7">
        <w:rPr>
          <w:b/>
          <w:bCs/>
        </w:rPr>
        <w:t>B</w:t>
      </w:r>
      <w:r>
        <w:t>. The access mark</w:t>
      </w:r>
      <w:r w:rsidR="0039131F">
        <w:t xml:space="preserve"> might be</w:t>
      </w:r>
      <w:r>
        <w:t xml:space="preserve"> placed before the object, that</w:t>
      </w:r>
      <w:r w:rsidR="0039131F">
        <w:t xml:space="preserve"> would be</w:t>
      </w:r>
      <w:r>
        <w:t xml:space="preserve"> accessed.</w:t>
      </w:r>
    </w:p>
    <w:p w:rsidR="006529CF" w:rsidRDefault="006529CF" w:rsidP="00585F37"/>
    <w:p w:rsidR="006529CF" w:rsidRDefault="006529CF" w:rsidP="00585F37">
      <w:r>
        <w:t xml:space="preserve">Admittedly, there is the idea to </w:t>
      </w:r>
      <w:r w:rsidR="00DC2F7C">
        <w:t xml:space="preserve">just </w:t>
      </w:r>
      <w:r>
        <w:t xml:space="preserve">draw it as an arrow shape, but </w:t>
      </w:r>
      <w:r w:rsidR="00B41691">
        <w:t>currently access marks like this</w:t>
      </w:r>
      <w:r w:rsidR="00524201">
        <w:t xml:space="preserve"> are suggested</w:t>
      </w:r>
      <w:r w:rsidR="00B41691">
        <w:t>.</w:t>
      </w:r>
    </w:p>
    <w:p w:rsidR="00585F37" w:rsidRPr="00F52573" w:rsidRDefault="00585F37" w:rsidP="00F52573"/>
    <w:p w:rsidR="00E32500" w:rsidRDefault="00E32500" w:rsidP="00E32500">
      <w:r>
        <w:t>But access marks</w:t>
      </w:r>
      <w:r w:rsidR="00226ADF">
        <w:t xml:space="preserve"> might not</w:t>
      </w:r>
      <w:r>
        <w:t xml:space="preserve"> always </w:t>
      </w:r>
      <w:r w:rsidR="00226ADF">
        <w:t xml:space="preserve">be </w:t>
      </w:r>
      <w:r>
        <w:t>displayed</w:t>
      </w:r>
      <w:r w:rsidR="00585F37">
        <w:t>.</w:t>
      </w:r>
      <w:r w:rsidR="00AA4B29">
        <w:t xml:space="preserve"> Some suggestions are </w:t>
      </w:r>
      <w:r w:rsidR="00F30826">
        <w:t xml:space="preserve">made </w:t>
      </w:r>
      <w:r w:rsidR="00AA4B29">
        <w:t>here for when direction might be implied without the use of an access mark</w:t>
      </w:r>
    </w:p>
    <w:p w:rsidR="00A029FC" w:rsidRPr="00F52573" w:rsidRDefault="00A029FC" w:rsidP="00A029FC">
      <w:pPr>
        <w:pStyle w:val="Heading4"/>
      </w:pPr>
      <w:r>
        <w:t>Lines Pointing Outwards</w:t>
      </w:r>
    </w:p>
    <w:p w:rsidR="00585F37" w:rsidRDefault="00585F37" w:rsidP="00585F37">
      <w:r>
        <w:t>The first</w:t>
      </w:r>
      <w:r w:rsidR="00F30826">
        <w:t xml:space="preserve"> suggestion</w:t>
      </w:r>
      <w:r>
        <w:t xml:space="preserve"> </w:t>
      </w:r>
      <w:r w:rsidR="00537466">
        <w:t>for line directio</w:t>
      </w:r>
      <w:r w:rsidR="00F30826">
        <w:t>n</w:t>
      </w:r>
      <w:r w:rsidR="00537466">
        <w:t xml:space="preserve"> </w:t>
      </w:r>
      <w:r w:rsidRPr="00F30826">
        <w:t xml:space="preserve">is </w:t>
      </w:r>
      <w:r>
        <w:t>that a line</w:t>
      </w:r>
      <w:r w:rsidR="00F30826">
        <w:t xml:space="preserve"> might</w:t>
      </w:r>
      <w:r>
        <w:t xml:space="preserve"> </w:t>
      </w:r>
      <w:r w:rsidRPr="00F30826">
        <w:t xml:space="preserve">usually </w:t>
      </w:r>
      <w:r>
        <w:t>point outward</w:t>
      </w:r>
      <w:r w:rsidR="002C4A62">
        <w:t>s</w:t>
      </w:r>
      <w:r>
        <w:t>.</w:t>
      </w:r>
    </w:p>
    <w:p w:rsidR="00585F37" w:rsidRPr="00F52573" w:rsidRDefault="00585F37" w:rsidP="00F52573"/>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Pr="00F52573" w:rsidRDefault="00585F37" w:rsidP="00F52573"/>
    <w:p w:rsidR="00585F37" w:rsidRDefault="00585F37" w:rsidP="00585F37">
      <w:r>
        <w:t xml:space="preserve">Symbol </w:t>
      </w:r>
      <w:r w:rsidRPr="008049D7">
        <w:rPr>
          <w:b/>
          <w:bCs/>
        </w:rPr>
        <w:t>A</w:t>
      </w:r>
      <w:r>
        <w:t xml:space="preserve"> </w:t>
      </w:r>
      <w:r w:rsidRPr="00AC3A29">
        <w:t xml:space="preserve">has </w:t>
      </w:r>
      <w:r>
        <w:t xml:space="preserve">a line </w:t>
      </w:r>
      <w:r w:rsidR="00AC3A29">
        <w:t xml:space="preserve">that might be </w:t>
      </w:r>
      <w:r>
        <w:t xml:space="preserve">pointing to Symbol </w:t>
      </w:r>
      <w:r w:rsidRPr="008049D7">
        <w:rPr>
          <w:b/>
          <w:bCs/>
        </w:rPr>
        <w:t>C</w:t>
      </w:r>
      <w:r>
        <w:t>, because lines</w:t>
      </w:r>
      <w:r w:rsidR="00AC3A29">
        <w:t xml:space="preserve"> might</w:t>
      </w:r>
      <w:r>
        <w:t xml:space="preserve"> </w:t>
      </w:r>
      <w:r w:rsidRPr="00AC3A29">
        <w:t xml:space="preserve">tend to </w:t>
      </w:r>
      <w:r>
        <w:t>point outward</w:t>
      </w:r>
      <w:r w:rsidR="002C4A62">
        <w:t>s</w:t>
      </w:r>
      <w:r>
        <w:t>.</w:t>
      </w:r>
    </w:p>
    <w:p w:rsidR="002C4A62" w:rsidRPr="00F52573" w:rsidRDefault="002C4A62" w:rsidP="00F52573"/>
    <w:p w:rsidR="002C4A62" w:rsidRDefault="00693BF8" w:rsidP="00585F37">
      <w:r>
        <w:t xml:space="preserve">If </w:t>
      </w:r>
      <w:r w:rsidR="002C4A62">
        <w:t>the direction</w:t>
      </w:r>
      <w:r>
        <w:t xml:space="preserve"> would not</w:t>
      </w:r>
      <w:r w:rsidR="002C4A62">
        <w:t xml:space="preserve"> </w:t>
      </w:r>
      <w:r w:rsidRPr="00693BF8">
        <w:t xml:space="preserve">be </w:t>
      </w:r>
      <w:r w:rsidR="002C4A62">
        <w:t xml:space="preserve">outwards, </w:t>
      </w:r>
      <w:r>
        <w:t xml:space="preserve">it might be </w:t>
      </w:r>
      <w:r w:rsidR="002C4A62" w:rsidRPr="00693BF8">
        <w:t>denote</w:t>
      </w:r>
      <w:r w:rsidRPr="00693BF8">
        <w:t>d</w:t>
      </w:r>
      <w:r w:rsidR="002C4A62" w:rsidRPr="006E712E">
        <w:rPr>
          <w:color w:val="FF0000"/>
        </w:rPr>
        <w:t xml:space="preserve"> </w:t>
      </w:r>
      <w:r w:rsidR="002C4A62">
        <w:t>with an access mark.</w:t>
      </w:r>
    </w:p>
    <w:p w:rsidR="002C4A62" w:rsidRPr="00F52573" w:rsidRDefault="002C4A62" w:rsidP="00F52573"/>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Pr="00F52573" w:rsidRDefault="002C4A62" w:rsidP="00F52573"/>
    <w:p w:rsidR="002C4A62" w:rsidRDefault="002C4A62" w:rsidP="00585F37">
      <w:r>
        <w:t xml:space="preserve">Symbol </w:t>
      </w:r>
      <w:r w:rsidRPr="008049D7">
        <w:rPr>
          <w:b/>
          <w:bCs/>
        </w:rPr>
        <w:t>C</w:t>
      </w:r>
      <w:r w:rsidR="00C92EDB">
        <w:rPr>
          <w:b/>
          <w:bCs/>
        </w:rPr>
        <w:t xml:space="preserve"> </w:t>
      </w:r>
      <w:r w:rsidR="00C92EDB" w:rsidRPr="00C92EDB">
        <w:t>would then</w:t>
      </w:r>
      <w:r>
        <w:t xml:space="preserve"> </w:t>
      </w:r>
      <w:r w:rsidR="00C92EDB" w:rsidRPr="00C92EDB">
        <w:t xml:space="preserve">be like </w:t>
      </w:r>
      <w:r>
        <w:t xml:space="preserve">a pointer to </w:t>
      </w:r>
      <w:r w:rsidR="00537466">
        <w:t>s</w:t>
      </w:r>
      <w:r>
        <w:t xml:space="preserve">ymbol </w:t>
      </w:r>
      <w:r w:rsidRPr="008049D7">
        <w:rPr>
          <w:b/>
          <w:bCs/>
        </w:rPr>
        <w:t>A</w:t>
      </w:r>
      <w:r>
        <w:t>.</w:t>
      </w:r>
    </w:p>
    <w:p w:rsidR="00A029FC" w:rsidRPr="00F52573" w:rsidRDefault="00A029FC" w:rsidP="00A029FC">
      <w:pPr>
        <w:pStyle w:val="Heading4"/>
      </w:pPr>
      <w:r>
        <w:t>Diamonds More Likely to Redirect</w:t>
      </w:r>
    </w:p>
    <w:p w:rsidR="00585F37" w:rsidRDefault="00585F37" w:rsidP="00585F37">
      <w:r>
        <w:t>The second</w:t>
      </w:r>
      <w:r w:rsidR="002F697C">
        <w:t xml:space="preserve"> suggestion </w:t>
      </w:r>
      <w:r w:rsidR="002C4A62">
        <w:t xml:space="preserve">for </w:t>
      </w:r>
      <w:r w:rsidR="00C809CC">
        <w:t>line direction</w:t>
      </w:r>
      <w:r w:rsidR="002F697C">
        <w:t xml:space="preserve"> might be that </w:t>
      </w:r>
      <w:r w:rsidR="00C809CC">
        <w:t>a diamond</w:t>
      </w:r>
      <w:r w:rsidR="002F697C">
        <w:t xml:space="preserve"> might be considered</w:t>
      </w:r>
      <w:r w:rsidRPr="003445AE">
        <w:rPr>
          <w:color w:val="FF0000"/>
        </w:rPr>
        <w:t xml:space="preserve"> </w:t>
      </w:r>
      <w:r w:rsidRPr="002F697C">
        <w:t>more likely</w:t>
      </w:r>
      <w:r w:rsidRPr="003445AE">
        <w:rPr>
          <w:color w:val="FF0000"/>
        </w:rPr>
        <w:t xml:space="preserve"> </w:t>
      </w:r>
      <w:r>
        <w:t xml:space="preserve">to redirect to the </w:t>
      </w:r>
      <w:r w:rsidR="00D33E5E">
        <w:t>command</w:t>
      </w:r>
      <w:r>
        <w:t xml:space="preserve"> definition, than</w:t>
      </w:r>
      <w:r w:rsidR="002F697C">
        <w:t xml:space="preserve"> it would be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Pr="00F52573" w:rsidRDefault="00585F37" w:rsidP="00F52573"/>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E0"/>
      </w:r>
    </w:p>
    <w:p w:rsidR="00585F37" w:rsidRPr="00F52573" w:rsidRDefault="00585F37" w:rsidP="00F52573"/>
    <w:p w:rsidR="00585F37" w:rsidRDefault="00585F37" w:rsidP="00585F37">
      <w:r>
        <w:t>The diamond</w:t>
      </w:r>
      <w:r w:rsidR="002F697C">
        <w:t xml:space="preserve"> would point to </w:t>
      </w:r>
      <w:r>
        <w:t>the square,</w:t>
      </w:r>
      <w:r w:rsidR="002F697C">
        <w:t xml:space="preserve"> when it </w:t>
      </w:r>
      <w:r w:rsidR="002F697C" w:rsidRPr="002F697C">
        <w:t xml:space="preserve">would be considered </w:t>
      </w:r>
      <w:r>
        <w:t>more likely for a diamond to redirect to a square, than</w:t>
      </w:r>
      <w:r w:rsidR="00DF1FC3">
        <w:t xml:space="preserve"> for </w:t>
      </w:r>
      <w:r w:rsidR="002C4A62">
        <w:t xml:space="preserve">a </w:t>
      </w:r>
      <w:r>
        <w:t xml:space="preserve">square </w:t>
      </w:r>
      <w:r w:rsidR="002C4A62">
        <w:t xml:space="preserve">to </w:t>
      </w:r>
      <w:r>
        <w:t>re</w:t>
      </w:r>
      <w:r w:rsidR="002C4A62">
        <w:t>direct</w:t>
      </w:r>
      <w:r>
        <w:t xml:space="preserve"> to a diamond.</w:t>
      </w:r>
    </w:p>
    <w:p w:rsidR="00585F37" w:rsidRPr="00F52573" w:rsidRDefault="00585F37" w:rsidP="00F52573"/>
    <w:p w:rsidR="00585F37" w:rsidRDefault="00585F37" w:rsidP="00585F37">
      <w:r w:rsidRPr="0074553D">
        <w:t xml:space="preserve">If </w:t>
      </w:r>
      <w:r w:rsidR="002C4A62">
        <w:t>the direction</w:t>
      </w:r>
      <w:r w:rsidR="0074553D">
        <w:t xml:space="preserve"> would be</w:t>
      </w:r>
      <w:r w:rsidR="002C4A62">
        <w:t xml:space="preserve"> the other way around </w:t>
      </w:r>
      <w:r>
        <w:t>direction,</w:t>
      </w:r>
      <w:r w:rsidR="0074553D">
        <w:t xml:space="preserve"> it might be denoted with the use of </w:t>
      </w:r>
      <w:r>
        <w:t>an access symbol:</w:t>
      </w:r>
    </w:p>
    <w:p w:rsidR="00585F37" w:rsidRPr="00F52573" w:rsidRDefault="00585F37" w:rsidP="00F52573"/>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320961">
        <w:t>When</w:t>
      </w:r>
      <w:r w:rsidRPr="00DE164C">
        <w:rPr>
          <w:color w:val="FF0000"/>
        </w:rPr>
        <w:t xml:space="preserve"> </w:t>
      </w:r>
      <w:r>
        <w:t>a line crosses symbol</w:t>
      </w:r>
      <w:r w:rsidR="00FE0711">
        <w:t>s’</w:t>
      </w:r>
      <w:r>
        <w:t xml:space="preserve"> borders, it </w:t>
      </w:r>
      <w:r w:rsidR="00D82E80">
        <w:t xml:space="preserve">might first </w:t>
      </w:r>
      <w:r w:rsidRPr="00D82E80">
        <w:t>exit</w:t>
      </w:r>
      <w:r w:rsidRPr="00485C36">
        <w:rPr>
          <w:color w:val="FF0000"/>
        </w:rPr>
        <w:t xml:space="preserve"> </w:t>
      </w:r>
      <w:r>
        <w:t>bord</w:t>
      </w:r>
      <w:r w:rsidR="00456F87">
        <w:t>ers and then enter borders.</w:t>
      </w:r>
    </w:p>
    <w:p w:rsidR="00585F37" w:rsidRPr="00F52573" w:rsidRDefault="00585F37" w:rsidP="00F52573"/>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C142CD" w:rsidP="00585F37">
      <w:r>
        <w:t xml:space="preserve">An </w:t>
      </w:r>
      <w:r w:rsidR="007E5D8E" w:rsidRPr="007E5D8E">
        <w:t xml:space="preserve">idea is to put the access mark </w:t>
      </w:r>
      <w:r w:rsidR="00585F37">
        <w:t>in the section between the exits and entrances</w:t>
      </w:r>
      <w:r>
        <w:t>,</w:t>
      </w:r>
      <w:r w:rsidR="00585F37">
        <w:t xml:space="preserve"> </w:t>
      </w:r>
      <w:r w:rsidR="00585F37" w:rsidRPr="00C142CD">
        <w:t xml:space="preserve">not neccessarily </w:t>
      </w:r>
      <w:r w:rsidR="00585F37">
        <w:t xml:space="preserve">close to the eventual symbol </w:t>
      </w:r>
      <w:r w:rsidR="008E29DD">
        <w:t>pointed out</w:t>
      </w:r>
      <w:r w:rsidR="00585F37">
        <w:t xml:space="preserve">. In other words: the access </w:t>
      </w:r>
      <w:r w:rsidR="00ED3A93">
        <w:t>mark</w:t>
      </w:r>
      <w:r>
        <w:t xml:space="preserve"> would then be placed </w:t>
      </w:r>
      <w:r w:rsidR="00585F37">
        <w:t>in front of the border that</w:t>
      </w:r>
      <w:r>
        <w:t xml:space="preserve"> may </w:t>
      </w:r>
      <w:r w:rsidR="00585F37">
        <w:t xml:space="preserve">first </w:t>
      </w:r>
      <w:r>
        <w:t xml:space="preserve">be </w:t>
      </w:r>
      <w:r w:rsidR="00585F37">
        <w:t>entered.</w:t>
      </w:r>
    </w:p>
    <w:p w:rsidR="00585F37" w:rsidRPr="00F52573" w:rsidRDefault="00585F37" w:rsidP="00F52573"/>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042B8B" w:rsidP="00585F37">
      <w:r w:rsidRPr="00042B8B">
        <w:t>Perhaps if</w:t>
      </w:r>
      <w:r w:rsidR="00585F37" w:rsidRPr="00676D80">
        <w:rPr>
          <w:color w:val="FF0000"/>
        </w:rPr>
        <w:t xml:space="preserve"> </w:t>
      </w:r>
      <w:r w:rsidR="00585F37">
        <w:t>the part of the line between exits and entrances</w:t>
      </w:r>
      <w:r>
        <w:t xml:space="preserve"> would</w:t>
      </w:r>
      <w:r w:rsidR="00585F37">
        <w:t xml:space="preserve"> </w:t>
      </w:r>
      <w:r w:rsidR="00585F37" w:rsidRPr="00042B8B">
        <w:t>go</w:t>
      </w:r>
      <w:r w:rsidR="00585F37" w:rsidRPr="00E75403">
        <w:rPr>
          <w:color w:val="FF0000"/>
        </w:rPr>
        <w:t xml:space="preserve"> </w:t>
      </w:r>
      <w:r w:rsidR="00585F37">
        <w:t xml:space="preserve">out of view </w:t>
      </w:r>
      <w:r w:rsidR="00585F37" w:rsidRPr="00042B8B">
        <w:t>then</w:t>
      </w:r>
      <w:r w:rsidR="00585F37" w:rsidRPr="00E75403">
        <w:rPr>
          <w:color w:val="FF0000"/>
        </w:rPr>
        <w:t xml:space="preserve"> </w:t>
      </w:r>
      <w:r w:rsidR="00585F37">
        <w:t xml:space="preserve">the access </w:t>
      </w:r>
      <w:r w:rsidR="00ED3A93">
        <w:t>mark</w:t>
      </w:r>
      <w:r w:rsidR="00436A49">
        <w:t xml:space="preserve"> might be</w:t>
      </w:r>
      <w:r w:rsidR="00585F37">
        <w:t xml:space="preserve"> placed where still visible. It </w:t>
      </w:r>
      <w:r w:rsidR="001765D2">
        <w:t xml:space="preserve">could be </w:t>
      </w:r>
      <w:r w:rsidR="00585F37">
        <w:t xml:space="preserve">placed in front of the last border in view that </w:t>
      </w:r>
      <w:r w:rsidR="001765D2">
        <w:t xml:space="preserve">might be </w:t>
      </w:r>
      <w:r w:rsidR="00585F37">
        <w:t>entered or exited:</w:t>
      </w:r>
    </w:p>
    <w:p w:rsidR="00585F37" w:rsidRPr="00F52573" w:rsidRDefault="00585F37" w:rsidP="00F52573"/>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F52573"/>
    <w:p w:rsidR="0038585C" w:rsidRPr="00F52573" w:rsidRDefault="0038585C" w:rsidP="00F52573">
      <w:r>
        <w:t>It may be a problem to draw it like this:</w:t>
      </w:r>
    </w:p>
    <w:p w:rsidR="00585F37" w:rsidRPr="00F52573" w:rsidRDefault="00585F37" w:rsidP="00F52573"/>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F52573"/>
    <w:p w:rsidR="0038585C" w:rsidRPr="00F52573" w:rsidRDefault="0038585C" w:rsidP="00F52573">
      <w:r>
        <w:t>This might suggest that the rightmost border would be entered, instead of exited.</w:t>
      </w:r>
    </w:p>
    <w:p w:rsidR="00585F37" w:rsidRDefault="00ED3A93" w:rsidP="00ED3A93">
      <w:pPr>
        <w:pStyle w:val="Heading4"/>
      </w:pPr>
      <w:r>
        <w:t xml:space="preserve">Line </w:t>
      </w:r>
      <w:r w:rsidR="006F44F9">
        <w:t>O</w:t>
      </w:r>
      <w:r>
        <w:t>wnership</w:t>
      </w:r>
    </w:p>
    <w:p w:rsidR="00AC63B5" w:rsidRDefault="00611C9A" w:rsidP="00AC63B5">
      <w:r>
        <w:t xml:space="preserve">Perhaps </w:t>
      </w:r>
      <w:r w:rsidR="00BB162F">
        <w:t>depending on how these diagrams might be applied</w:t>
      </w:r>
      <w:r>
        <w:t>, a</w:t>
      </w:r>
      <w:r w:rsidR="00AC63B5">
        <w:t>n object symbol</w:t>
      </w:r>
      <w:r>
        <w:t xml:space="preserve"> </w:t>
      </w:r>
      <w:r w:rsidR="00BB162F">
        <w:t xml:space="preserve">could </w:t>
      </w:r>
      <w:r w:rsidR="00AC63B5" w:rsidRPr="00611C9A">
        <w:t xml:space="preserve">only </w:t>
      </w:r>
      <w:r w:rsidR="00AC63B5">
        <w:t xml:space="preserve">have </w:t>
      </w:r>
      <w:r w:rsidR="00AC63B5" w:rsidRPr="00611C9A">
        <w:t>one</w:t>
      </w:r>
      <w:r w:rsidR="00AC63B5" w:rsidRPr="003C59D8">
        <w:rPr>
          <w:color w:val="FF0000"/>
        </w:rPr>
        <w:t xml:space="preserve"> </w:t>
      </w:r>
      <w:r w:rsidR="00AC63B5">
        <w:t xml:space="preserve">object line, </w:t>
      </w:r>
      <w:r w:rsidR="00AC63B5" w:rsidRPr="00611C9A">
        <w:t>one</w:t>
      </w:r>
      <w:r w:rsidR="00AC63B5" w:rsidRPr="003C59D8">
        <w:rPr>
          <w:color w:val="FF0000"/>
        </w:rPr>
        <w:t xml:space="preserve"> </w:t>
      </w:r>
      <w:r w:rsidR="00AC63B5">
        <w:t xml:space="preserve">class line and </w:t>
      </w:r>
      <w:r w:rsidR="00AC63B5" w:rsidRPr="00611C9A">
        <w:t>one</w:t>
      </w:r>
      <w:r w:rsidR="00AC63B5" w:rsidRPr="003C59D8">
        <w:rPr>
          <w:color w:val="FF0000"/>
        </w:rPr>
        <w:t xml:space="preserve"> </w:t>
      </w:r>
      <w:r w:rsidR="00AC63B5">
        <w:t>interface line. The lines</w:t>
      </w:r>
      <w:r>
        <w:t xml:space="preserve"> </w:t>
      </w:r>
      <w:r w:rsidR="007E4226">
        <w:t xml:space="preserve">may </w:t>
      </w:r>
      <w:r>
        <w:t xml:space="preserve">be considered to </w:t>
      </w:r>
      <w:r w:rsidR="00AC63B5" w:rsidRPr="00611C9A">
        <w:t xml:space="preserve">point </w:t>
      </w:r>
      <w:r w:rsidR="00AC63B5" w:rsidRPr="00611C9A">
        <w:rPr>
          <w:i/>
          <w:iCs/>
        </w:rPr>
        <w:t>away</w:t>
      </w:r>
      <w:r w:rsidR="00AC63B5" w:rsidRPr="00726D32">
        <w:rPr>
          <w:color w:val="FF0000"/>
        </w:rPr>
        <w:t xml:space="preserve"> </w:t>
      </w:r>
      <w:r w:rsidR="00AC63B5">
        <w:t>from the symbol. They</w:t>
      </w:r>
      <w:r w:rsidR="00112348">
        <w:t xml:space="preserve"> could</w:t>
      </w:r>
      <w:r w:rsidR="00AC63B5">
        <w:t xml:space="preserve"> </w:t>
      </w:r>
      <w:r w:rsidR="00AC63B5" w:rsidRPr="00112348">
        <w:t xml:space="preserve">denote </w:t>
      </w:r>
      <w:r w:rsidR="00AC63B5">
        <w:t>which other symbol</w:t>
      </w:r>
      <w:r w:rsidR="00112348">
        <w:t xml:space="preserve"> may be</w:t>
      </w:r>
      <w:r w:rsidR="00AC63B5" w:rsidRPr="00611A86">
        <w:rPr>
          <w:color w:val="FF0000"/>
        </w:rPr>
        <w:t xml:space="preserve"> </w:t>
      </w:r>
      <w:r w:rsidR="00AC63B5">
        <w:t>its object, which other symbol</w:t>
      </w:r>
      <w:r w:rsidR="00112348">
        <w:t xml:space="preserve"> may be</w:t>
      </w:r>
      <w:r w:rsidR="00AC63B5">
        <w:t xml:space="preserve"> its class and which other symbol</w:t>
      </w:r>
      <w:r w:rsidR="00112348">
        <w:t xml:space="preserve"> may be</w:t>
      </w:r>
      <w:r w:rsidR="00AC63B5" w:rsidRPr="00BD740D">
        <w:rPr>
          <w:color w:val="FF0000"/>
        </w:rPr>
        <w:t xml:space="preserve"> </w:t>
      </w:r>
      <w:r w:rsidR="00AC63B5">
        <w:t>its interface.</w:t>
      </w:r>
      <w:r w:rsidR="00DB329A">
        <w:t xml:space="preserve"> Other </w:t>
      </w:r>
      <w:r w:rsidR="00AC63B5">
        <w:t>lines connected to an object symbol</w:t>
      </w:r>
      <w:r w:rsidR="00DB329A">
        <w:t xml:space="preserve"> could be considered to </w:t>
      </w:r>
      <w:r w:rsidR="00AC63B5" w:rsidRPr="00DB329A">
        <w:t xml:space="preserve">point </w:t>
      </w:r>
      <w:r w:rsidR="00AC63B5" w:rsidRPr="00DB329A">
        <w:rPr>
          <w:i/>
          <w:iCs/>
        </w:rPr>
        <w:t>at</w:t>
      </w:r>
      <w:r w:rsidR="00AC63B5" w:rsidRPr="00DB329A">
        <w:t xml:space="preserve"> </w:t>
      </w:r>
      <w:r w:rsidR="00AC63B5">
        <w:t xml:space="preserve">the symbol, </w:t>
      </w:r>
      <w:r w:rsidR="00DB329A">
        <w:t>instead of</w:t>
      </w:r>
      <w:r w:rsidR="00AC63B5" w:rsidRPr="00DB329A">
        <w:t xml:space="preserve"> </w:t>
      </w:r>
      <w:r w:rsidR="00AC63B5" w:rsidRPr="00DB329A">
        <w:rPr>
          <w:i/>
          <w:iCs/>
        </w:rPr>
        <w:t>away</w:t>
      </w:r>
      <w:r w:rsidR="00AC63B5" w:rsidRPr="00DB329A">
        <w:t xml:space="preserve"> </w:t>
      </w:r>
      <w:r w:rsidR="00AC63B5">
        <w:t>from the symbol.</w:t>
      </w:r>
    </w:p>
    <w:p w:rsidR="00AC63B5" w:rsidRPr="00F52573" w:rsidRDefault="00AC63B5" w:rsidP="00F52573"/>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Pr="00F52573" w:rsidRDefault="00AC63B5" w:rsidP="00F52573"/>
    <w:p w:rsidR="00AC63B5" w:rsidRDefault="0016614C" w:rsidP="00AC63B5">
      <w:r>
        <w:t>It</w:t>
      </w:r>
      <w:r w:rsidR="0047503D">
        <w:t xml:space="preserve"> might work similarly </w:t>
      </w:r>
      <w:r>
        <w:t xml:space="preserve">for commands. A command </w:t>
      </w:r>
      <w:r w:rsidR="0047503D">
        <w:t xml:space="preserve">might </w:t>
      </w:r>
      <w:r>
        <w:t>have</w:t>
      </w:r>
      <w:r w:rsidR="0047503D">
        <w:t xml:space="preser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Pr="00F52573" w:rsidRDefault="0006035D" w:rsidP="00F52573"/>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Pr="00F52573" w:rsidRDefault="0006035D" w:rsidP="00F52573"/>
    <w:p w:rsidR="000D41A6" w:rsidRDefault="000A18A9" w:rsidP="0006035D">
      <w:r w:rsidRPr="000A18A9">
        <w:t xml:space="preserve">might be </w:t>
      </w:r>
      <w:r w:rsidR="0006035D">
        <w:t>used to indicate that a symbol that</w:t>
      </w:r>
      <w:r>
        <w:t xml:space="preserve"> might</w:t>
      </w:r>
      <w:r w:rsidR="0006035D">
        <w:t xml:space="preserve"> </w:t>
      </w:r>
      <w:r w:rsidR="0006035D" w:rsidRPr="000A18A9">
        <w:t>own</w:t>
      </w:r>
      <w:r w:rsidRPr="000A18A9">
        <w:t xml:space="preserve"> </w:t>
      </w:r>
      <w:r w:rsidR="0006035D">
        <w:t>the line</w:t>
      </w:r>
      <w:r>
        <w:t xml:space="preserve"> would be</w:t>
      </w:r>
      <w:r w:rsidR="0006035D" w:rsidRPr="00AB03D7">
        <w:rPr>
          <w:color w:val="FF0000"/>
        </w:rPr>
        <w:t xml:space="preserve"> </w:t>
      </w:r>
      <w:r w:rsidR="0006035D" w:rsidRPr="008049D7">
        <w:rPr>
          <w:b/>
          <w:bCs/>
        </w:rPr>
        <w:t>Public</w:t>
      </w:r>
      <w:r w:rsidR="0006035D">
        <w:t>, or accessible.</w:t>
      </w:r>
      <w:r w:rsidR="003D1B72">
        <w:t xml:space="preserve"> (It is supposed to be about the smaller line, </w:t>
      </w:r>
      <w:r w:rsidR="00FE1D90">
        <w:t xml:space="preserve">that </w:t>
      </w:r>
      <w:r w:rsidR="001F3429">
        <w:t xml:space="preserve">appears to </w:t>
      </w:r>
      <w:r w:rsidR="001B579E">
        <w:t>dissect</w:t>
      </w:r>
      <w:r w:rsidR="003D1B72">
        <w:t xml:space="preserve"> the longer line.)</w:t>
      </w:r>
    </w:p>
    <w:p w:rsidR="000D41A6" w:rsidRDefault="000D41A6" w:rsidP="0006035D"/>
    <w:p w:rsidR="00EB2FDF" w:rsidRDefault="00BA156B" w:rsidP="0006035D">
      <w:r>
        <w:t xml:space="preserve">The straight access mark </w:t>
      </w:r>
      <w:r w:rsidR="00AB471F">
        <w:t>might be connected to a symbol as follows:</w:t>
      </w:r>
    </w:p>
    <w:p w:rsidR="00EB2FDF" w:rsidRDefault="00EB2FDF" w:rsidP="0006035D"/>
    <w:p w:rsidR="00AB471F" w:rsidRDefault="009C4AF0" w:rsidP="00AB471F">
      <w:pPr>
        <w:ind w:left="852"/>
      </w:pPr>
      <w:r>
        <w:rPr>
          <w:noProof/>
        </w:rPr>
        <w:drawing>
          <wp:inline distT="0" distB="0" distL="0" distR="0" wp14:anchorId="13413604" wp14:editId="47C1FEEF">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EB2FDF" w:rsidRDefault="00EB2FDF" w:rsidP="0006035D"/>
    <w:p w:rsidR="0006035D" w:rsidRDefault="0006035D" w:rsidP="0006035D">
      <w:r>
        <w:t>It</w:t>
      </w:r>
      <w:r w:rsidR="00915EC1">
        <w:t xml:space="preserve"> might also be</w:t>
      </w:r>
      <w:r>
        <w:t xml:space="preserve"> used, to indicate direction. (</w:t>
      </w:r>
      <w:r w:rsidR="00A60A9B">
        <w:t>S</w:t>
      </w:r>
      <w:r>
        <w:t xml:space="preserve">ee above in </w:t>
      </w:r>
      <w:r w:rsidRPr="0006035D">
        <w:rPr>
          <w:i/>
        </w:rPr>
        <w:t xml:space="preserve">Line </w:t>
      </w:r>
      <w:r w:rsidR="00E65BD8">
        <w:rPr>
          <w:i/>
        </w:rPr>
        <w:t>D</w:t>
      </w:r>
      <w:r w:rsidRPr="0006035D">
        <w:rPr>
          <w:i/>
        </w:rPr>
        <w:t xml:space="preserve">irection, </w:t>
      </w:r>
      <w:r w:rsidR="00E65BD8">
        <w:rPr>
          <w:i/>
        </w:rPr>
        <w:t>A</w:t>
      </w:r>
      <w:r w:rsidRPr="0006035D">
        <w:rPr>
          <w:i/>
        </w:rPr>
        <w:t xml:space="preserve">ccess </w:t>
      </w:r>
      <w:r w:rsidR="00E65BD8">
        <w:rPr>
          <w:i/>
        </w:rPr>
        <w:t>M</w:t>
      </w:r>
      <w:r w:rsidRPr="0006035D">
        <w:rPr>
          <w:i/>
        </w:rPr>
        <w:t xml:space="preserve">arks, </w:t>
      </w:r>
      <w:r w:rsidR="00E65BD8">
        <w:rPr>
          <w:i/>
        </w:rPr>
        <w:t>L</w:t>
      </w:r>
      <w:r w:rsidRPr="0006035D">
        <w:rPr>
          <w:i/>
        </w:rPr>
        <w:t xml:space="preserve">ine </w:t>
      </w:r>
      <w:r w:rsidR="00E65BD8">
        <w:rPr>
          <w:i/>
        </w:rPr>
        <w:t>O</w:t>
      </w:r>
      <w:r w:rsidRPr="0006035D">
        <w:rPr>
          <w:i/>
        </w:rPr>
        <w:t>wnership</w:t>
      </w:r>
      <w:r w:rsidR="00A60A9B">
        <w:rPr>
          <w:i/>
        </w:rPr>
        <w:t>.</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F52573" w:rsidRDefault="0006035D" w:rsidP="00F52573"/>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Pr="00F52573" w:rsidRDefault="0006035D" w:rsidP="00F52573"/>
    <w:p w:rsidR="000D41A6" w:rsidRDefault="00360491" w:rsidP="0006035D">
      <w:r w:rsidRPr="00360491">
        <w:t xml:space="preserve">might be </w:t>
      </w:r>
      <w:r w:rsidR="0006035D">
        <w:t>used to indicate, that the symbol that</w:t>
      </w:r>
      <w:r>
        <w:t xml:space="preserve"> might</w:t>
      </w:r>
      <w:r w:rsidR="0006035D">
        <w:t xml:space="preserve"> </w:t>
      </w:r>
      <w:r w:rsidR="0006035D" w:rsidRPr="00360491">
        <w:t>own</w:t>
      </w:r>
      <w:r w:rsidRPr="00360491">
        <w:t xml:space="preserve"> </w:t>
      </w:r>
      <w:r>
        <w:t xml:space="preserve">the line would be </w:t>
      </w:r>
      <w:r w:rsidR="0006035D">
        <w:t>not accessible</w:t>
      </w:r>
      <w:r w:rsidR="00464271">
        <w:t xml:space="preserve"> from the outside</w:t>
      </w:r>
      <w:r w:rsidR="0006035D">
        <w:t xml:space="preserve">, or </w:t>
      </w:r>
      <w:r w:rsidR="0006035D" w:rsidRPr="008049D7">
        <w:rPr>
          <w:b/>
          <w:bCs/>
        </w:rPr>
        <w:t>Private</w:t>
      </w:r>
      <w:r w:rsidR="0006035D">
        <w:t>.</w:t>
      </w:r>
    </w:p>
    <w:p w:rsidR="000D41A6" w:rsidRDefault="000D41A6" w:rsidP="0006035D"/>
    <w:p w:rsidR="000D41A6" w:rsidRDefault="000B0A8A" w:rsidP="000D41A6">
      <w:r>
        <w:t xml:space="preserve">Here is how it might look when </w:t>
      </w:r>
      <w:r w:rsidR="000D41A6">
        <w:t>connected to a symbol:</w:t>
      </w:r>
    </w:p>
    <w:p w:rsidR="000D41A6" w:rsidRDefault="000D41A6" w:rsidP="0006035D"/>
    <w:p w:rsidR="000D41A6" w:rsidRDefault="000D41A6" w:rsidP="000D41A6">
      <w:pPr>
        <w:ind w:left="852"/>
      </w:pPr>
      <w:r>
        <w:rPr>
          <w:noProof/>
        </w:rPr>
        <w:drawing>
          <wp:inline distT="0" distB="0" distL="0" distR="0" wp14:anchorId="56FFDB40" wp14:editId="308B04A9">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0D41A6" w:rsidRDefault="000D41A6" w:rsidP="0006035D"/>
    <w:p w:rsidR="0006035D" w:rsidRDefault="005A1D4B" w:rsidP="0006035D">
      <w:r w:rsidRPr="005A1D4B">
        <w:t>A</w:t>
      </w:r>
      <w:r w:rsidR="0006035D" w:rsidRPr="005A1D4B">
        <w:t xml:space="preserve"> </w:t>
      </w:r>
      <w:r w:rsidR="0006035D">
        <w:t>cross mark</w:t>
      </w:r>
      <w:r>
        <w:t xml:space="preserve"> might be </w:t>
      </w:r>
      <w:r w:rsidR="0006035D">
        <w:t xml:space="preserve">left out, </w:t>
      </w:r>
      <w:r>
        <w:t>if the choice is made that</w:t>
      </w:r>
      <w:r w:rsidR="00E900B9">
        <w:t xml:space="preserve"> the absence</w:t>
      </w:r>
      <w:r w:rsidR="0006035D" w:rsidRPr="005B2EB5">
        <w:t xml:space="preserve"> </w:t>
      </w:r>
      <w:r w:rsidR="0006035D">
        <w:t>of a straight mark</w:t>
      </w:r>
      <w:r>
        <w:t xml:space="preserve"> </w:t>
      </w:r>
      <w:r w:rsidR="00D50FBD">
        <w:t xml:space="preserve">might say </w:t>
      </w:r>
      <w:r w:rsidRPr="007A497D">
        <w:t xml:space="preserve">it would be </w:t>
      </w:r>
      <w:r w:rsidR="0006035D" w:rsidRPr="008049D7">
        <w:rPr>
          <w:b/>
          <w:bCs/>
        </w:rPr>
        <w:t>Private</w:t>
      </w:r>
      <w:r w:rsidR="00D50FBD">
        <w:rPr>
          <w:b/>
          <w:bCs/>
        </w:rPr>
        <w:t xml:space="preserve"> </w:t>
      </w:r>
      <w:r w:rsidR="00D50FBD" w:rsidRPr="00D50FBD">
        <w:t>already</w:t>
      </w:r>
      <w:r w:rsidR="00D50FBD">
        <w:t>, but there could be different ideas about that.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F52573" w:rsidRDefault="0006035D" w:rsidP="00F52573"/>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Pr="00F52573" w:rsidRDefault="0006035D" w:rsidP="00F52573"/>
    <w:p w:rsidR="00326EE6" w:rsidRDefault="00DC4843" w:rsidP="0006035D">
      <w:r w:rsidRPr="00DC4843">
        <w:t xml:space="preserve">may be </w:t>
      </w:r>
      <w:r w:rsidR="0006035D">
        <w:t>used to indicate that a symbol that</w:t>
      </w:r>
      <w:r>
        <w:t xml:space="preserve"> might</w:t>
      </w:r>
      <w:r w:rsidR="0006035D">
        <w:t xml:space="preserve"> </w:t>
      </w:r>
      <w:r w:rsidR="0006035D" w:rsidRPr="00DC4843">
        <w:t>own</w:t>
      </w:r>
      <w:r w:rsidR="0006035D" w:rsidRPr="00A56E16">
        <w:rPr>
          <w:color w:val="FF0000"/>
        </w:rPr>
        <w:t xml:space="preserve"> </w:t>
      </w:r>
      <w:r w:rsidR="0006035D">
        <w:t>the line</w:t>
      </w:r>
      <w:r>
        <w:t xml:space="preserve"> would be</w:t>
      </w:r>
      <w:r w:rsidR="0006035D" w:rsidRPr="00A56E16">
        <w:rPr>
          <w:color w:val="FF0000"/>
        </w:rPr>
        <w:t xml:space="preserve"> </w:t>
      </w:r>
      <w:r w:rsidR="0006035D" w:rsidRPr="008049D7">
        <w:rPr>
          <w:b/>
          <w:bCs/>
        </w:rPr>
        <w:t>Protected</w:t>
      </w:r>
      <w:r w:rsidR="00B93A57">
        <w:t xml:space="preserve">. </w:t>
      </w:r>
      <w:r w:rsidR="00326EE6">
        <w:t xml:space="preserve">Protected is something that can play a role in </w:t>
      </w:r>
      <w:r w:rsidR="007D6F1F">
        <w:t xml:space="preserve">the concept of </w:t>
      </w:r>
      <w:r w:rsidR="00326EE6" w:rsidRPr="007D6F1F">
        <w:rPr>
          <w:i/>
          <w:iCs/>
        </w:rPr>
        <w:t>inheritance</w:t>
      </w:r>
      <w:r w:rsidR="00326EE6">
        <w:t xml:space="preserve">. In the Circle language it </w:t>
      </w:r>
      <w:r w:rsidR="007D6F1F">
        <w:t xml:space="preserve">might </w:t>
      </w:r>
      <w:r w:rsidR="00326EE6">
        <w:t xml:space="preserve">mean </w:t>
      </w:r>
      <w:r w:rsidR="0006035D">
        <w:t xml:space="preserve">that </w:t>
      </w:r>
      <w:r w:rsidR="00326EE6">
        <w:t xml:space="preserve">a symbol might only be accessible if </w:t>
      </w:r>
      <w:r w:rsidR="00326EE6" w:rsidRPr="00326EE6">
        <w:t xml:space="preserve">it </w:t>
      </w:r>
      <w:r w:rsidR="00EB7CF2">
        <w:t xml:space="preserve">was placed </w:t>
      </w:r>
      <w:r w:rsidR="00326EE6" w:rsidRPr="00326EE6">
        <w:t xml:space="preserve">inside </w:t>
      </w:r>
      <w:r w:rsidR="0006035D">
        <w:t>a triangle.</w:t>
      </w:r>
    </w:p>
    <w:p w:rsidR="00326EE6" w:rsidRDefault="00326EE6" w:rsidP="0006035D"/>
    <w:p w:rsidR="00FE742B" w:rsidRDefault="00FE742B" w:rsidP="0006035D">
      <w:r>
        <w:t>Here is how that might look if it is connected to a symbol:</w:t>
      </w:r>
    </w:p>
    <w:p w:rsidR="00326EE6" w:rsidRDefault="00326EE6" w:rsidP="0006035D"/>
    <w:p w:rsidR="00FD10B4" w:rsidRDefault="00FD10B4" w:rsidP="00FD10B4">
      <w:pPr>
        <w:ind w:left="852"/>
      </w:pPr>
      <w:r w:rsidRPr="00FD10B4">
        <w:rPr>
          <w:noProof/>
        </w:rPr>
        <w:drawing>
          <wp:inline distT="0" distB="0" distL="0" distR="0" wp14:anchorId="68C9B181" wp14:editId="3226C20D">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949381" cy="648233"/>
                    </a:xfrm>
                    <a:prstGeom prst="rect">
                      <a:avLst/>
                    </a:prstGeom>
                  </pic:spPr>
                </pic:pic>
              </a:graphicData>
            </a:graphic>
          </wp:inline>
        </w:drawing>
      </w:r>
    </w:p>
    <w:p w:rsidR="00326EE6" w:rsidRDefault="00326EE6" w:rsidP="0006035D"/>
    <w:p w:rsidR="0006035D" w:rsidRPr="0006035D" w:rsidRDefault="0006035D" w:rsidP="0006035D">
      <w:r>
        <w:t>A triangular mark</w:t>
      </w:r>
      <w:r w:rsidR="00F653FD">
        <w:t xml:space="preserve"> would not represent </w:t>
      </w:r>
      <w:r>
        <w:t>an arrow.</w:t>
      </w:r>
      <w:r w:rsidR="00F653FD">
        <w:t xml:space="preserve"> </w:t>
      </w:r>
      <w:r w:rsidR="00FD10B4">
        <w:t>I</w:t>
      </w:r>
      <w:r w:rsidR="00F653FD">
        <w:t>t might be confusing that a triangular mark looks like an arrow</w:t>
      </w:r>
      <w:r w:rsidR="00FD10B4">
        <w:t>, but isn</w:t>
      </w:r>
      <w:r w:rsidR="008D0035">
        <w:t>'</w:t>
      </w:r>
      <w:r w:rsidR="00FD10B4">
        <w:t>t</w:t>
      </w:r>
      <w:r w:rsidR="00F653FD">
        <w:t xml:space="preserve">, and a different notation for protected might be appropriate and introduced </w:t>
      </w:r>
      <w:r w:rsidR="00510F29">
        <w:t>some</w:t>
      </w:r>
      <w:r w:rsidR="00AF6DC9">
        <w:t xml:space="preserve"> </w:t>
      </w:r>
      <w:r w:rsidR="00510F29">
        <w:t>time</w:t>
      </w:r>
      <w:r w:rsidR="00F653FD">
        <w:t>.</w:t>
      </w:r>
    </w:p>
    <w:p w:rsidR="0005629E" w:rsidRDefault="0005629E" w:rsidP="0005629E">
      <w:pPr>
        <w:pStyle w:val="Heading3"/>
      </w:pPr>
      <w:r>
        <w:t xml:space="preserve">Line </w:t>
      </w:r>
      <w:r w:rsidR="00DF28E4">
        <w:t>M</w:t>
      </w:r>
      <w:r>
        <w:t>erge</w:t>
      </w:r>
    </w:p>
    <w:p w:rsidR="0005629E" w:rsidRDefault="00F64B9F" w:rsidP="0005629E">
      <w:r>
        <w:t xml:space="preserve">A suggestion is made here to sometimes merge two lines together to form one. The idea is that the </w:t>
      </w:r>
      <w:r w:rsidR="0005629E">
        <w:t>two lines</w:t>
      </w:r>
      <w:r>
        <w:t xml:space="preserve"> would be </w:t>
      </w:r>
      <w:r w:rsidR="0005629E" w:rsidRPr="005D2C99">
        <w:t xml:space="preserve">so closely </w:t>
      </w:r>
      <w:r w:rsidR="0005629E">
        <w:t xml:space="preserve">related, that they </w:t>
      </w:r>
      <w:r w:rsidR="00733937">
        <w:t xml:space="preserve">might </w:t>
      </w:r>
      <w:r w:rsidR="0005629E" w:rsidRPr="00733937">
        <w:t xml:space="preserve">merge </w:t>
      </w:r>
      <w:r w:rsidR="0005629E">
        <w:t>together to</w:t>
      </w:r>
      <w:r>
        <w:t xml:space="preserve"> form</w:t>
      </w:r>
      <w:r w:rsidR="0005629E">
        <w:t xml:space="preserve"> </w:t>
      </w:r>
      <w:r w:rsidR="0005629E" w:rsidRPr="00733937">
        <w:t>one</w:t>
      </w:r>
      <w:r w:rsidR="0005629E">
        <w:t xml:space="preserve">. </w:t>
      </w:r>
      <w:r>
        <w:t xml:space="preserve">This might be called a </w:t>
      </w:r>
      <w:r w:rsidR="0005629E">
        <w:t>line merge.</w:t>
      </w:r>
    </w:p>
    <w:p w:rsidR="005D2C99" w:rsidRPr="00F52573" w:rsidRDefault="005D2C99" w:rsidP="00F52573"/>
    <w:p w:rsidR="0005629E" w:rsidRDefault="0005629E" w:rsidP="0005629E">
      <w:r>
        <w:t>The lines in the following diagram are very closely related:</w:t>
      </w:r>
    </w:p>
    <w:p w:rsidR="0005629E" w:rsidRPr="00F52573" w:rsidRDefault="0005629E" w:rsidP="00F52573"/>
    <w:p w:rsidR="00DA3975" w:rsidRPr="00F52573" w:rsidRDefault="00613111" w:rsidP="00F52573">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They 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2">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trick, because it might arguably introduce </w:t>
      </w:r>
      <w:r w:rsidR="00093384">
        <w:t xml:space="preserve">some </w:t>
      </w:r>
      <w:r>
        <w:t>ambiguity or the suggestion of ambiguity</w:t>
      </w:r>
      <w:r w:rsidR="00202DBA">
        <w:t>, but the idea may appear in some of the text</w:t>
      </w:r>
      <w:r>
        <w:t>.</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3">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A949F0" w:rsidP="00A949F0">
      <w:r>
        <w:t>The lines and the symbols in circles the lines</w:t>
      </w:r>
      <w:r w:rsidR="00F23CF1">
        <w:t xml:space="preserve"> might</w:t>
      </w:r>
      <w:r>
        <w:t xml:space="preserve"> </w:t>
      </w:r>
      <w:r w:rsidRPr="00F23CF1">
        <w:t xml:space="preserve">merge </w:t>
      </w:r>
      <w:r>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4">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t>
      </w:r>
      <w:r w:rsidR="002C56B5">
        <w:rPr>
          <w:i/>
        </w:rPr>
        <w:t xml:space="preserve">may </w:t>
      </w:r>
      <w:r w:rsidRPr="009D1682">
        <w:rPr>
          <w:i/>
        </w:rPr>
        <w:t>find loose ideas and</w:t>
      </w:r>
      <w:r w:rsidR="00450F3A">
        <w:rPr>
          <w:i/>
        </w:rPr>
        <w:t xml:space="preserve"> parts</w:t>
      </w:r>
      <w:r w:rsidRPr="009D1682">
        <w:rPr>
          <w:i/>
        </w:rPr>
        <w:t xml:space="preserve"> from older documentation, that are </w:t>
      </w:r>
      <w:r w:rsidR="002C56B5">
        <w:rPr>
          <w:i/>
        </w:rPr>
        <w:t xml:space="preserve">intended </w:t>
      </w:r>
      <w:r w:rsidRPr="009D1682">
        <w:rPr>
          <w:i/>
        </w:rPr>
        <w:t>to be turned into</w:t>
      </w:r>
      <w:r w:rsidR="00C24B8B">
        <w:rPr>
          <w:i/>
        </w:rPr>
        <w:t xml:space="preserve"> more polished</w:t>
      </w:r>
      <w:r w:rsidRPr="009D1682">
        <w:rPr>
          <w:i/>
        </w:rPr>
        <w:t xml:space="preserve"> 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Pr="00F52573" w:rsidRDefault="005B5C14" w:rsidP="00F52573"/>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Pr="00F52573" w:rsidRDefault="005B5C14" w:rsidP="00F52573"/>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Pr="00F52573" w:rsidRDefault="005B5C14" w:rsidP="00F52573"/>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Pr="00F52573" w:rsidRDefault="005B5C14" w:rsidP="00F52573"/>
    <w:p w:rsidR="005B5C14" w:rsidRDefault="005B5C14" w:rsidP="005B5C14">
      <w:r>
        <w:t>You can see the line dissector as the door that lets you access a symbol. Therefore</w:t>
      </w:r>
      <w:r w:rsidR="0028710B">
        <w:t>,</w:t>
      </w:r>
      <w:r>
        <w:t xml:space="preserv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Pr="00F52573" w:rsidRDefault="005B5C14" w:rsidP="00F52573"/>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Pr="00F52573" w:rsidRDefault="005B5C14" w:rsidP="00F52573"/>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w:t>
      </w:r>
      <w:r w:rsidR="0028710B">
        <w:t>now,</w:t>
      </w:r>
      <w:r>
        <w:t xml:space="preserve">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Pr="00F52573" w:rsidRDefault="005B5C14" w:rsidP="00F52573"/>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Pr="00F52573" w:rsidRDefault="005B5C14" w:rsidP="00F52573"/>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Pr="00F52573" w:rsidRDefault="005B5C14" w:rsidP="00F52573"/>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Pr="00F52573" w:rsidRDefault="005B5C14" w:rsidP="00F52573"/>
    <w:p w:rsidR="005B5C14" w:rsidRDefault="005B5C14" w:rsidP="005B5C14">
      <w:r>
        <w:t>Three things can be the matter:</w:t>
      </w:r>
    </w:p>
    <w:p w:rsidR="005B5C14" w:rsidRPr="00F52573" w:rsidRDefault="005B5C14" w:rsidP="00F52573"/>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Pr="00F52573" w:rsidRDefault="005B5C14" w:rsidP="00F52573"/>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w:t>
      </w:r>
      <w:r w:rsidR="0028710B">
        <w:t>,</w:t>
      </w:r>
      <w:r>
        <w:t xml:space="preserve"> then the direction is outwards:</w:t>
      </w:r>
    </w:p>
    <w:p w:rsidR="005B5C14" w:rsidRPr="00F52573" w:rsidRDefault="005B5C14" w:rsidP="00F52573"/>
    <w:p w:rsidR="005B5C14" w:rsidRDefault="005B5C14" w:rsidP="005B5C14">
      <w:pPr>
        <w:pStyle w:val="Rule"/>
      </w:pPr>
      <w:r>
        <w:t>Direction is Usually Outwards</w:t>
      </w:r>
    </w:p>
    <w:p w:rsidR="005B5C14" w:rsidRPr="00F52573" w:rsidRDefault="005B5C14" w:rsidP="00F52573"/>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Pr="00F52573" w:rsidRDefault="005B5C14" w:rsidP="00F52573"/>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Pr="00F52573" w:rsidRDefault="005B5C14" w:rsidP="00F52573"/>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Pr="00F52573" w:rsidRDefault="005B5C14" w:rsidP="00F52573"/>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Pr="00F52573" w:rsidRDefault="005B5C14" w:rsidP="00F52573"/>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Pr="00F52573" w:rsidRDefault="005B5C14" w:rsidP="00F52573"/>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Pr="00F52573" w:rsidRDefault="005B5C14" w:rsidP="00F52573"/>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Pr="00F52573" w:rsidRDefault="005B5C14" w:rsidP="00F52573"/>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And it is very </w:t>
      </w:r>
      <w:r>
        <w:rPr>
          <w:i/>
          <w:iCs/>
        </w:rPr>
        <w:t>uncommon</w:t>
      </w:r>
      <w:r>
        <w:t xml:space="preserve"> to reference a procedure clause from an object:</w:t>
      </w:r>
    </w:p>
    <w:p w:rsidR="005B5C14" w:rsidRPr="00F52573" w:rsidRDefault="005B5C14" w:rsidP="00F52573"/>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Pr="00F52573" w:rsidRDefault="005B5C14" w:rsidP="00F52573"/>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Pr="00F52573" w:rsidRDefault="005B5C14" w:rsidP="00F52573"/>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Pr="00F52573" w:rsidRDefault="005B5C14" w:rsidP="00F52573"/>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Pr="00F52573" w:rsidRDefault="005B5C14" w:rsidP="00F52573"/>
    <w:p w:rsidR="005B5C14" w:rsidRDefault="005B5C14" w:rsidP="005B5C14">
      <w:r>
        <w:t xml:space="preserve">You can point </w:t>
      </w:r>
      <w:r>
        <w:rPr>
          <w:i/>
          <w:iCs/>
        </w:rPr>
        <w:t>to</w:t>
      </w:r>
      <w:r>
        <w:t xml:space="preserve"> a diamond:</w:t>
      </w:r>
    </w:p>
    <w:p w:rsidR="005B5C14" w:rsidRPr="00F52573" w:rsidRDefault="005B5C14" w:rsidP="00F52573"/>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Pr="00F52573" w:rsidRDefault="005B5C14" w:rsidP="00F52573"/>
    <w:p w:rsidR="005B5C14" w:rsidRDefault="005B5C14" w:rsidP="005B5C14">
      <w:pPr>
        <w:pStyle w:val="Rule"/>
        <w:ind w:left="360" w:firstLine="360"/>
        <w:jc w:val="both"/>
      </w:pPr>
      <w:r>
        <w:t>You sooner exit than enter.</w:t>
      </w:r>
    </w:p>
    <w:p w:rsidR="005B5C14" w:rsidRPr="00F52573" w:rsidRDefault="005B5C14" w:rsidP="00F52573"/>
    <w:p w:rsidR="005B5C14" w:rsidRDefault="005B5C14" w:rsidP="005B5C14">
      <w:r>
        <w:t>The outwards rule says that you exit a border rather than enter it. The exit the most borders rule says you exit more borders than you enter.</w:t>
      </w:r>
    </w:p>
    <w:p w:rsidR="005B5C14" w:rsidRPr="00F52573" w:rsidRDefault="005B5C14" w:rsidP="00F52573"/>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r>
        <w:t>because you exit more than you enter.</w:t>
      </w:r>
    </w:p>
    <w:p w:rsidR="005B5C14" w:rsidRPr="00F52573" w:rsidRDefault="005B5C14" w:rsidP="00F52573"/>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Pr="00F52573" w:rsidRDefault="005B5C14" w:rsidP="00F52573"/>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r>
        <w:t>Bidirection</w:t>
      </w:r>
    </w:p>
    <w:p w:rsidR="005B5C14" w:rsidRDefault="005B5C14" w:rsidP="005B5C14">
      <w:r>
        <w:t xml:space="preserve">If </w:t>
      </w:r>
      <w:r>
        <w:rPr>
          <w:i/>
          <w:iCs/>
        </w:rPr>
        <w:t>no rule</w:t>
      </w:r>
      <w:r>
        <w:t xml:space="preserve"> determines direction</w:t>
      </w:r>
      <w:r w:rsidR="0028710B">
        <w:t>,</w:t>
      </w:r>
      <w:r>
        <w:t xml:space="preserve"> then the direction is either not expressed in the diagram or the direction goes both ways.</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Pr="00F52573" w:rsidRDefault="005B5C14" w:rsidP="00F52573"/>
    <w:p w:rsidR="005B5C14" w:rsidRDefault="005B5C14" w:rsidP="005B5C14">
      <w:r>
        <w:t xml:space="preserve">A line going both ways is called a </w:t>
      </w:r>
      <w:r>
        <w:rPr>
          <w:i/>
          <w:iCs/>
        </w:rPr>
        <w:t>bidirection</w:t>
      </w:r>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Pr="00F52573" w:rsidRDefault="005B5C14" w:rsidP="00F52573"/>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r w:rsidR="0028710B">
        <w:t>necessarily</w:t>
      </w:r>
      <w:r>
        <w:t xml:space="preserve"> close to the eventual symbol pointed at. In other words: the access symbol is usually put in front of the border that is first entered.</w:t>
      </w:r>
    </w:p>
    <w:p w:rsidR="005B5C14" w:rsidRPr="00F52573" w:rsidRDefault="005B5C14" w:rsidP="00F52573"/>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 xml:space="preserve">If the part of the line between exits and entrances goes out of </w:t>
      </w:r>
      <w:r w:rsidR="0028710B">
        <w:t>view,</w:t>
      </w:r>
      <w:r>
        <w:t xml:space="preserve"> then the access symbol can be placed where it’s still visible. It is placed in front of the last border in view that is entered or exited:</w:t>
      </w:r>
    </w:p>
    <w:p w:rsidR="005B5C14" w:rsidRPr="00F52573" w:rsidRDefault="005B5C14" w:rsidP="00F52573"/>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Pr="00F52573" w:rsidRDefault="005B5C14" w:rsidP="00F52573"/>
    <w:p w:rsidR="005B5C14" w:rsidRDefault="005B5C14" w:rsidP="005B5C14">
      <w:r>
        <w:t>Don’t draw it like this:</w:t>
      </w:r>
    </w:p>
    <w:p w:rsidR="005B5C14" w:rsidRPr="00F52573" w:rsidRDefault="005B5C14" w:rsidP="00F52573"/>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Pr="00F52573" w:rsidRDefault="005B5C14" w:rsidP="00F52573"/>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r w:rsidR="0028710B">
        <w:t>necessarily</w:t>
      </w:r>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 xml:space="preserve">If this access symbol will go out of </w:t>
      </w:r>
      <w:r w:rsidR="0028710B">
        <w:t>view,</w:t>
      </w:r>
      <w:r>
        <w:t xml:space="preserve">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Pr="00F52573" w:rsidRDefault="005B5C14" w:rsidP="00F52573"/>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Pr="00F52573" w:rsidRDefault="005B5C14" w:rsidP="00F52573"/>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Pr="00F52573" w:rsidRDefault="005B5C14" w:rsidP="00F52573"/>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Pr="00F52573" w:rsidRDefault="002B00D4" w:rsidP="00F52573"/>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Pr="00F52573" w:rsidRDefault="002B00D4" w:rsidP="00F52573"/>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2B00D4" w:rsidP="002B00D4">
      <w:r>
        <w:t xml:space="preserve">and by connecting them with </w:t>
      </w:r>
      <w:r>
        <w:rPr>
          <w:i/>
          <w:iCs/>
        </w:rPr>
        <w:t>lines:</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Pr="00F52573" w:rsidRDefault="002B00D4" w:rsidP="00F52573"/>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represent the same object by connecting them with a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be of the same type by connecting them with a dashed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r w:rsidR="0028710B">
        <w:t>simultaneously</w:t>
      </w:r>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 xml:space="preserve">&lt;Why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w:t>
      </w:r>
      <w:r w:rsidR="0028710B">
        <w:rPr>
          <w:color w:val="00CCFF"/>
        </w:rPr>
        <w:t>So,</w:t>
      </w:r>
      <w:r>
        <w:rPr>
          <w:color w:val="00CCFF"/>
        </w:rPr>
        <w:t xml:space="preserve">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Een call line is eigenlijk een reference line, maar als de parent square execute, dan execute ook de call. Hmmm… het is bijna of het allemaal reference lines zijn en sommige squares executen nou eenmaal. Shit! Dat is ook zo! Clauses moeten ook kunnen executen en ik zeg nu dat iets alleen execute als het een call line heeft!!! Hmmm…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w:t>
      </w:r>
      <w:r w:rsidR="0028710B" w:rsidRPr="00A317C3">
        <w:rPr>
          <w:color w:val="00CCFF"/>
          <w:lang w:val="nl-NL"/>
        </w:rPr>
        <w:t>zoiets</w:t>
      </w:r>
      <w:r w:rsidRPr="00A317C3">
        <w:rPr>
          <w:color w:val="00CCFF"/>
          <w:lang w:val="nl-NL"/>
        </w:rPr>
        <w:t xml:space="preserve"> als een triangle een aparte line maken. Hetzelfde mankement. Dan lijkt het logisch, dat een call een apart symbool krijgt, niet een aparte line. </w:t>
      </w:r>
      <w:r>
        <w:rPr>
          <w:color w:val="00CCFF"/>
        </w:rPr>
        <w:t>Shit. Welk symbool.</w:t>
      </w:r>
    </w:p>
    <w:p w:rsidR="00A30D0D" w:rsidRDefault="00A30D0D" w:rsidP="00A30D0D">
      <w:pPr>
        <w:pStyle w:val="Heading2"/>
      </w:pPr>
      <w:r>
        <w:t>When Shape Types, When Line Types</w:t>
      </w:r>
    </w:p>
    <w:p w:rsidR="00A30D0D" w:rsidRDefault="00A30D0D" w:rsidP="00A30D0D">
      <w:pPr>
        <w:pStyle w:val="Brainstorm"/>
      </w:pPr>
      <w:r>
        <w:t>&lt;</w:t>
      </w:r>
      <w:r w:rsidR="0028710B">
        <w:t>So,</w:t>
      </w:r>
      <w:r>
        <w:t xml:space="preserve"> there’s a call trace and an definition trace.&gt;</w:t>
      </w:r>
    </w:p>
    <w:p w:rsidR="00A30D0D" w:rsidRPr="00A317C3" w:rsidRDefault="00A30D0D" w:rsidP="00A30D0D">
      <w:pPr>
        <w:pStyle w:val="Brainstorm"/>
        <w:rPr>
          <w:lang w:val="nl-NL"/>
        </w:rPr>
      </w:pPr>
      <w:r w:rsidRPr="00A317C3">
        <w:rPr>
          <w:lang w:val="nl-NL"/>
        </w:rPr>
        <w:t>&lt;Target call, target definition&gt;</w:t>
      </w:r>
    </w:p>
    <w:p w:rsidR="00A30D0D" w:rsidRPr="00A317C3" w:rsidRDefault="00A30D0D" w:rsidP="00A30D0D">
      <w:pPr>
        <w:pStyle w:val="Brainstorm"/>
        <w:rPr>
          <w:lang w:val="nl-NL"/>
        </w:rPr>
      </w:pPr>
      <w:r w:rsidRPr="00A317C3">
        <w:rPr>
          <w:lang w:val="nl-NL"/>
        </w:rPr>
        <w:t>&lt;Misschien mag ik dan al wel verklappen dat de call zo’n beetje het object is en de definition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reference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triangle is gekozen voor interface implementation, omdat een interface implementation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r w:rsidR="003B5F1B">
        <w:t>object</w:t>
      </w:r>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It’s important for some procedure symbols not to function as an execution. Otherwize the system would behave complete different. It’s not as important for an object symbol not to function as an object, only as a type. The system isn’t really harmed as severly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Dat is zo’n beetje waar het kwartje begon te vallen dat het een shape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shape wordt in basis Symbol alleen gebruikt als het echt nodig is. Als het niet echt nodig was om andere shapes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102"/>
      <w:footerReference w:type="default" r:id="rId103"/>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62F" w:rsidRDefault="0011362F">
      <w:r>
        <w:separator/>
      </w:r>
    </w:p>
  </w:endnote>
  <w:endnote w:type="continuationSeparator" w:id="0">
    <w:p w:rsidR="0011362F" w:rsidRDefault="0011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62F" w:rsidRDefault="0011362F">
      <w:r>
        <w:separator/>
      </w:r>
    </w:p>
  </w:footnote>
  <w:footnote w:type="continuationSeparator" w:id="0">
    <w:p w:rsidR="0011362F" w:rsidRDefault="0011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3716"/>
    <w:rsid w:val="00053848"/>
    <w:rsid w:val="00054EE9"/>
    <w:rsid w:val="0005629E"/>
    <w:rsid w:val="0006035D"/>
    <w:rsid w:val="00061E63"/>
    <w:rsid w:val="000637E8"/>
    <w:rsid w:val="00065FE7"/>
    <w:rsid w:val="000661DF"/>
    <w:rsid w:val="00066EE0"/>
    <w:rsid w:val="00067BC4"/>
    <w:rsid w:val="000704C0"/>
    <w:rsid w:val="0007272E"/>
    <w:rsid w:val="00081BD1"/>
    <w:rsid w:val="000869A3"/>
    <w:rsid w:val="00092F6D"/>
    <w:rsid w:val="000930DE"/>
    <w:rsid w:val="00093384"/>
    <w:rsid w:val="00094C6E"/>
    <w:rsid w:val="00095EE5"/>
    <w:rsid w:val="00096A36"/>
    <w:rsid w:val="000A0F73"/>
    <w:rsid w:val="000A18A9"/>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612A"/>
    <w:rsid w:val="000C7A18"/>
    <w:rsid w:val="000C7A62"/>
    <w:rsid w:val="000D000A"/>
    <w:rsid w:val="000D294F"/>
    <w:rsid w:val="000D2E67"/>
    <w:rsid w:val="000D3C28"/>
    <w:rsid w:val="000D41A6"/>
    <w:rsid w:val="000D4AE3"/>
    <w:rsid w:val="000D4B3B"/>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348"/>
    <w:rsid w:val="0011299C"/>
    <w:rsid w:val="001131FC"/>
    <w:rsid w:val="0011342A"/>
    <w:rsid w:val="0011362F"/>
    <w:rsid w:val="00113A2A"/>
    <w:rsid w:val="00114DF8"/>
    <w:rsid w:val="0011630C"/>
    <w:rsid w:val="0011637A"/>
    <w:rsid w:val="001210B8"/>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5D2"/>
    <w:rsid w:val="001768AC"/>
    <w:rsid w:val="001775C9"/>
    <w:rsid w:val="00177865"/>
    <w:rsid w:val="00180180"/>
    <w:rsid w:val="001815AC"/>
    <w:rsid w:val="00181BDE"/>
    <w:rsid w:val="0018215B"/>
    <w:rsid w:val="00182A0E"/>
    <w:rsid w:val="0018339A"/>
    <w:rsid w:val="0018470E"/>
    <w:rsid w:val="00187EDC"/>
    <w:rsid w:val="0019005A"/>
    <w:rsid w:val="00193C0F"/>
    <w:rsid w:val="001A1317"/>
    <w:rsid w:val="001A13D9"/>
    <w:rsid w:val="001A1B37"/>
    <w:rsid w:val="001A1EA3"/>
    <w:rsid w:val="001B071A"/>
    <w:rsid w:val="001B0756"/>
    <w:rsid w:val="001B195A"/>
    <w:rsid w:val="001B2C9B"/>
    <w:rsid w:val="001B3E9A"/>
    <w:rsid w:val="001B401B"/>
    <w:rsid w:val="001B4CEB"/>
    <w:rsid w:val="001B579E"/>
    <w:rsid w:val="001B7BFF"/>
    <w:rsid w:val="001B7EF3"/>
    <w:rsid w:val="001C189D"/>
    <w:rsid w:val="001C44D4"/>
    <w:rsid w:val="001C7C57"/>
    <w:rsid w:val="001C7FCD"/>
    <w:rsid w:val="001D03DD"/>
    <w:rsid w:val="001D27B0"/>
    <w:rsid w:val="001D29BB"/>
    <w:rsid w:val="001D669E"/>
    <w:rsid w:val="001D69E0"/>
    <w:rsid w:val="001D7F52"/>
    <w:rsid w:val="001E1261"/>
    <w:rsid w:val="001E1278"/>
    <w:rsid w:val="001E1BBD"/>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B37"/>
    <w:rsid w:val="002A6419"/>
    <w:rsid w:val="002B00D4"/>
    <w:rsid w:val="002B057B"/>
    <w:rsid w:val="002B0AE2"/>
    <w:rsid w:val="002B29B6"/>
    <w:rsid w:val="002B3221"/>
    <w:rsid w:val="002B332D"/>
    <w:rsid w:val="002B6405"/>
    <w:rsid w:val="002B733A"/>
    <w:rsid w:val="002C4461"/>
    <w:rsid w:val="002C4A62"/>
    <w:rsid w:val="002C56B5"/>
    <w:rsid w:val="002D0509"/>
    <w:rsid w:val="002D188B"/>
    <w:rsid w:val="002D1A86"/>
    <w:rsid w:val="002D2E6A"/>
    <w:rsid w:val="002D37DD"/>
    <w:rsid w:val="002D3C6E"/>
    <w:rsid w:val="002D565E"/>
    <w:rsid w:val="002D6195"/>
    <w:rsid w:val="002D7666"/>
    <w:rsid w:val="002E01F3"/>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70A05"/>
    <w:rsid w:val="00373DCC"/>
    <w:rsid w:val="00374A22"/>
    <w:rsid w:val="0038158C"/>
    <w:rsid w:val="00382CEA"/>
    <w:rsid w:val="003832D3"/>
    <w:rsid w:val="00383D62"/>
    <w:rsid w:val="003842E7"/>
    <w:rsid w:val="0038585C"/>
    <w:rsid w:val="0039131F"/>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97F"/>
    <w:rsid w:val="003F1D26"/>
    <w:rsid w:val="003F2BDA"/>
    <w:rsid w:val="003F3308"/>
    <w:rsid w:val="003F5EAC"/>
    <w:rsid w:val="003F6A65"/>
    <w:rsid w:val="003F6BBE"/>
    <w:rsid w:val="00403E12"/>
    <w:rsid w:val="00411E67"/>
    <w:rsid w:val="00415637"/>
    <w:rsid w:val="00415AF8"/>
    <w:rsid w:val="00415BFC"/>
    <w:rsid w:val="0042347C"/>
    <w:rsid w:val="004239E1"/>
    <w:rsid w:val="00423AC6"/>
    <w:rsid w:val="004248DD"/>
    <w:rsid w:val="0042499C"/>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1BDA"/>
    <w:rsid w:val="00541FD5"/>
    <w:rsid w:val="005429F1"/>
    <w:rsid w:val="00543207"/>
    <w:rsid w:val="00543DCD"/>
    <w:rsid w:val="0054556F"/>
    <w:rsid w:val="00547B3E"/>
    <w:rsid w:val="00547F81"/>
    <w:rsid w:val="00552CF5"/>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D4D"/>
    <w:rsid w:val="005C1720"/>
    <w:rsid w:val="005C3358"/>
    <w:rsid w:val="005C5D41"/>
    <w:rsid w:val="005C5FE5"/>
    <w:rsid w:val="005C600D"/>
    <w:rsid w:val="005D027D"/>
    <w:rsid w:val="005D1824"/>
    <w:rsid w:val="005D2C99"/>
    <w:rsid w:val="005D491C"/>
    <w:rsid w:val="005D59D4"/>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5F2"/>
    <w:rsid w:val="00650C99"/>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331E"/>
    <w:rsid w:val="00683AB8"/>
    <w:rsid w:val="00685A23"/>
    <w:rsid w:val="00685FA7"/>
    <w:rsid w:val="006863F0"/>
    <w:rsid w:val="00687D83"/>
    <w:rsid w:val="00687FA0"/>
    <w:rsid w:val="00691B8B"/>
    <w:rsid w:val="006928A3"/>
    <w:rsid w:val="00692ACA"/>
    <w:rsid w:val="0069355F"/>
    <w:rsid w:val="00693BF8"/>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2AE4"/>
    <w:rsid w:val="006F3948"/>
    <w:rsid w:val="006F44F9"/>
    <w:rsid w:val="006F545B"/>
    <w:rsid w:val="006F5ABD"/>
    <w:rsid w:val="006F6EE1"/>
    <w:rsid w:val="006F78C0"/>
    <w:rsid w:val="0070064A"/>
    <w:rsid w:val="00702314"/>
    <w:rsid w:val="00703016"/>
    <w:rsid w:val="0070614C"/>
    <w:rsid w:val="007064E4"/>
    <w:rsid w:val="00707415"/>
    <w:rsid w:val="007132C7"/>
    <w:rsid w:val="007144F1"/>
    <w:rsid w:val="00714DB4"/>
    <w:rsid w:val="00715194"/>
    <w:rsid w:val="00717DD7"/>
    <w:rsid w:val="00720263"/>
    <w:rsid w:val="00721CA2"/>
    <w:rsid w:val="0072231F"/>
    <w:rsid w:val="00726D32"/>
    <w:rsid w:val="00730B07"/>
    <w:rsid w:val="007337C4"/>
    <w:rsid w:val="00733937"/>
    <w:rsid w:val="007348C9"/>
    <w:rsid w:val="00737402"/>
    <w:rsid w:val="00737E5E"/>
    <w:rsid w:val="007414D7"/>
    <w:rsid w:val="0074488A"/>
    <w:rsid w:val="0074553D"/>
    <w:rsid w:val="007510D9"/>
    <w:rsid w:val="007522A2"/>
    <w:rsid w:val="00755E6B"/>
    <w:rsid w:val="007566E3"/>
    <w:rsid w:val="00756DF4"/>
    <w:rsid w:val="007613BF"/>
    <w:rsid w:val="00762CF0"/>
    <w:rsid w:val="007635DF"/>
    <w:rsid w:val="007637F3"/>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880"/>
    <w:rsid w:val="007F6528"/>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48D"/>
    <w:rsid w:val="00825832"/>
    <w:rsid w:val="00826355"/>
    <w:rsid w:val="00826376"/>
    <w:rsid w:val="008305A1"/>
    <w:rsid w:val="0083071B"/>
    <w:rsid w:val="0083286A"/>
    <w:rsid w:val="0083333A"/>
    <w:rsid w:val="008346A3"/>
    <w:rsid w:val="00834D30"/>
    <w:rsid w:val="0083727F"/>
    <w:rsid w:val="00843801"/>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80525"/>
    <w:rsid w:val="008811E0"/>
    <w:rsid w:val="008814BF"/>
    <w:rsid w:val="00882F21"/>
    <w:rsid w:val="008855BF"/>
    <w:rsid w:val="00891E36"/>
    <w:rsid w:val="00893261"/>
    <w:rsid w:val="008A0151"/>
    <w:rsid w:val="008A025F"/>
    <w:rsid w:val="008A102F"/>
    <w:rsid w:val="008A4AF9"/>
    <w:rsid w:val="008B066C"/>
    <w:rsid w:val="008B2F73"/>
    <w:rsid w:val="008B309A"/>
    <w:rsid w:val="008B3FA1"/>
    <w:rsid w:val="008B5663"/>
    <w:rsid w:val="008B5BD7"/>
    <w:rsid w:val="008B7025"/>
    <w:rsid w:val="008C0AB2"/>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7790"/>
    <w:rsid w:val="0095097E"/>
    <w:rsid w:val="00950F61"/>
    <w:rsid w:val="00960FDA"/>
    <w:rsid w:val="009615CD"/>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31A6"/>
    <w:rsid w:val="00993560"/>
    <w:rsid w:val="009A370D"/>
    <w:rsid w:val="009A4E90"/>
    <w:rsid w:val="009A6D29"/>
    <w:rsid w:val="009A6F47"/>
    <w:rsid w:val="009A7263"/>
    <w:rsid w:val="009A79BC"/>
    <w:rsid w:val="009A7FCD"/>
    <w:rsid w:val="009B371A"/>
    <w:rsid w:val="009B44CB"/>
    <w:rsid w:val="009B585B"/>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F5F"/>
    <w:rsid w:val="00A331DE"/>
    <w:rsid w:val="00A33D8F"/>
    <w:rsid w:val="00A35D6B"/>
    <w:rsid w:val="00A36776"/>
    <w:rsid w:val="00A371D6"/>
    <w:rsid w:val="00A42CC3"/>
    <w:rsid w:val="00A436DE"/>
    <w:rsid w:val="00A43936"/>
    <w:rsid w:val="00A43D4A"/>
    <w:rsid w:val="00A449EA"/>
    <w:rsid w:val="00A45115"/>
    <w:rsid w:val="00A4747B"/>
    <w:rsid w:val="00A51989"/>
    <w:rsid w:val="00A52CDA"/>
    <w:rsid w:val="00A5545E"/>
    <w:rsid w:val="00A55CCB"/>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E0B88"/>
    <w:rsid w:val="00AE0DFF"/>
    <w:rsid w:val="00AE2B86"/>
    <w:rsid w:val="00AE3D31"/>
    <w:rsid w:val="00AE65F9"/>
    <w:rsid w:val="00AE6C35"/>
    <w:rsid w:val="00AE7620"/>
    <w:rsid w:val="00AF07C5"/>
    <w:rsid w:val="00AF0D3C"/>
    <w:rsid w:val="00AF1AED"/>
    <w:rsid w:val="00AF3B73"/>
    <w:rsid w:val="00AF4209"/>
    <w:rsid w:val="00AF5438"/>
    <w:rsid w:val="00AF6DC9"/>
    <w:rsid w:val="00AF78D5"/>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28FE"/>
    <w:rsid w:val="00B52EE7"/>
    <w:rsid w:val="00B55662"/>
    <w:rsid w:val="00B55774"/>
    <w:rsid w:val="00B5780D"/>
    <w:rsid w:val="00B600A1"/>
    <w:rsid w:val="00B60F52"/>
    <w:rsid w:val="00B64C1F"/>
    <w:rsid w:val="00B6571B"/>
    <w:rsid w:val="00B6630B"/>
    <w:rsid w:val="00B665B5"/>
    <w:rsid w:val="00B70191"/>
    <w:rsid w:val="00B71535"/>
    <w:rsid w:val="00B778CE"/>
    <w:rsid w:val="00B77B0D"/>
    <w:rsid w:val="00B80A8B"/>
    <w:rsid w:val="00B822DC"/>
    <w:rsid w:val="00B823B6"/>
    <w:rsid w:val="00B82A46"/>
    <w:rsid w:val="00B843C3"/>
    <w:rsid w:val="00B84FCC"/>
    <w:rsid w:val="00B90882"/>
    <w:rsid w:val="00B90B77"/>
    <w:rsid w:val="00B91799"/>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EF2"/>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920"/>
    <w:rsid w:val="00C20DF5"/>
    <w:rsid w:val="00C21DD3"/>
    <w:rsid w:val="00C2206F"/>
    <w:rsid w:val="00C22C60"/>
    <w:rsid w:val="00C24B8B"/>
    <w:rsid w:val="00C2515B"/>
    <w:rsid w:val="00C263E4"/>
    <w:rsid w:val="00C26D0D"/>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700"/>
    <w:rsid w:val="00CC4B0A"/>
    <w:rsid w:val="00CC4C73"/>
    <w:rsid w:val="00CC57E5"/>
    <w:rsid w:val="00CC7346"/>
    <w:rsid w:val="00CC7845"/>
    <w:rsid w:val="00CD0AED"/>
    <w:rsid w:val="00CD133E"/>
    <w:rsid w:val="00CD27DB"/>
    <w:rsid w:val="00CD2C00"/>
    <w:rsid w:val="00CD38CB"/>
    <w:rsid w:val="00CD7195"/>
    <w:rsid w:val="00CE0BA6"/>
    <w:rsid w:val="00CE1132"/>
    <w:rsid w:val="00CE1147"/>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33808"/>
    <w:rsid w:val="00D33E5E"/>
    <w:rsid w:val="00D33FD3"/>
    <w:rsid w:val="00D34481"/>
    <w:rsid w:val="00D368A7"/>
    <w:rsid w:val="00D4045D"/>
    <w:rsid w:val="00D44872"/>
    <w:rsid w:val="00D45070"/>
    <w:rsid w:val="00D450F3"/>
    <w:rsid w:val="00D46FE8"/>
    <w:rsid w:val="00D5074F"/>
    <w:rsid w:val="00D50C90"/>
    <w:rsid w:val="00D50FBD"/>
    <w:rsid w:val="00D51A2A"/>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5569"/>
    <w:rsid w:val="00D8654E"/>
    <w:rsid w:val="00D86DB0"/>
    <w:rsid w:val="00D9015E"/>
    <w:rsid w:val="00D90A66"/>
    <w:rsid w:val="00D93C47"/>
    <w:rsid w:val="00D9573B"/>
    <w:rsid w:val="00D95E42"/>
    <w:rsid w:val="00D96D1A"/>
    <w:rsid w:val="00DA10B6"/>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563E"/>
    <w:rsid w:val="00DF67B8"/>
    <w:rsid w:val="00DF6F2F"/>
    <w:rsid w:val="00DF7CD0"/>
    <w:rsid w:val="00E009BD"/>
    <w:rsid w:val="00E00A8E"/>
    <w:rsid w:val="00E011CC"/>
    <w:rsid w:val="00E0322D"/>
    <w:rsid w:val="00E03385"/>
    <w:rsid w:val="00E035B8"/>
    <w:rsid w:val="00E05821"/>
    <w:rsid w:val="00E05E5B"/>
    <w:rsid w:val="00E067E9"/>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3476"/>
    <w:rsid w:val="00E3388C"/>
    <w:rsid w:val="00E34BC1"/>
    <w:rsid w:val="00E34F8D"/>
    <w:rsid w:val="00E37772"/>
    <w:rsid w:val="00E378D3"/>
    <w:rsid w:val="00E40C0A"/>
    <w:rsid w:val="00E40F0F"/>
    <w:rsid w:val="00E412FD"/>
    <w:rsid w:val="00E429F9"/>
    <w:rsid w:val="00E42E5F"/>
    <w:rsid w:val="00E43207"/>
    <w:rsid w:val="00E50217"/>
    <w:rsid w:val="00E50FA5"/>
    <w:rsid w:val="00E5108A"/>
    <w:rsid w:val="00E52454"/>
    <w:rsid w:val="00E52E45"/>
    <w:rsid w:val="00E53E3A"/>
    <w:rsid w:val="00E554B1"/>
    <w:rsid w:val="00E60D87"/>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338"/>
    <w:rsid w:val="00EA24A2"/>
    <w:rsid w:val="00EA2AB3"/>
    <w:rsid w:val="00EA4A3C"/>
    <w:rsid w:val="00EA67B3"/>
    <w:rsid w:val="00EA7412"/>
    <w:rsid w:val="00EB0340"/>
    <w:rsid w:val="00EB2AD6"/>
    <w:rsid w:val="00EB2FDF"/>
    <w:rsid w:val="00EB467A"/>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0045"/>
    <w:rsid w:val="00F014B0"/>
    <w:rsid w:val="00F01BC3"/>
    <w:rsid w:val="00F030D9"/>
    <w:rsid w:val="00F11A02"/>
    <w:rsid w:val="00F130CF"/>
    <w:rsid w:val="00F1773E"/>
    <w:rsid w:val="00F213F2"/>
    <w:rsid w:val="00F2321F"/>
    <w:rsid w:val="00F23CF1"/>
    <w:rsid w:val="00F23DE2"/>
    <w:rsid w:val="00F24051"/>
    <w:rsid w:val="00F306AB"/>
    <w:rsid w:val="00F30826"/>
    <w:rsid w:val="00F3207F"/>
    <w:rsid w:val="00F3280D"/>
    <w:rsid w:val="00F332E5"/>
    <w:rsid w:val="00F33AED"/>
    <w:rsid w:val="00F3511F"/>
    <w:rsid w:val="00F375A0"/>
    <w:rsid w:val="00F377DA"/>
    <w:rsid w:val="00F37BE5"/>
    <w:rsid w:val="00F405A1"/>
    <w:rsid w:val="00F42C64"/>
    <w:rsid w:val="00F43375"/>
    <w:rsid w:val="00F446D0"/>
    <w:rsid w:val="00F45A59"/>
    <w:rsid w:val="00F472BD"/>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6E4"/>
    <w:rsid w:val="00FD0EB4"/>
    <w:rsid w:val="00FD10B4"/>
    <w:rsid w:val="00FD138E"/>
    <w:rsid w:val="00FD418B"/>
    <w:rsid w:val="00FD5414"/>
    <w:rsid w:val="00FE0711"/>
    <w:rsid w:val="00FE0821"/>
    <w:rsid w:val="00FE1642"/>
    <w:rsid w:val="00FE1D90"/>
    <w:rsid w:val="00FE2183"/>
    <w:rsid w:val="00FE273A"/>
    <w:rsid w:val="00FE28C7"/>
    <w:rsid w:val="00FE438C"/>
    <w:rsid w:val="00FE644B"/>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058DF"/>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935A1D"/>
    <w:pPr>
      <w:keepNext/>
      <w:spacing w:before="240" w:after="24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0.png"/><Relationship Id="rId68" Type="http://schemas.openxmlformats.org/officeDocument/2006/relationships/image" Target="media/image55.png"/><Relationship Id="rId84" Type="http://schemas.openxmlformats.org/officeDocument/2006/relationships/image" Target="media/image71.png"/><Relationship Id="rId89" Type="http://schemas.openxmlformats.org/officeDocument/2006/relationships/image" Target="media/image76.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image" Target="media/image87.png"/><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103" Type="http://schemas.openxmlformats.org/officeDocument/2006/relationships/footer" Target="footer2.xml"/><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pn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jpeg"/><Relationship Id="rId94" Type="http://schemas.openxmlformats.org/officeDocument/2006/relationships/image" Target="media/image81.png"/><Relationship Id="rId99" Type="http://schemas.openxmlformats.org/officeDocument/2006/relationships/image" Target="media/image86.png"/><Relationship Id="rId101" Type="http://schemas.openxmlformats.org/officeDocument/2006/relationships/image" Target="media/image88.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emf"/><Relationship Id="rId34" Type="http://schemas.openxmlformats.org/officeDocument/2006/relationships/image" Target="media/image22.emf"/><Relationship Id="rId50" Type="http://schemas.openxmlformats.org/officeDocument/2006/relationships/image" Target="media/image38.emf"/><Relationship Id="rId55" Type="http://schemas.openxmlformats.org/officeDocument/2006/relationships/image" Target="media/image42.png"/><Relationship Id="rId76" Type="http://schemas.openxmlformats.org/officeDocument/2006/relationships/image" Target="media/image63.png"/><Relationship Id="rId97" Type="http://schemas.openxmlformats.org/officeDocument/2006/relationships/image" Target="media/image84.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F11A-930A-481E-9592-F1DB2705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719</cp:revision>
  <cp:lastPrinted>2004-02-18T06:27:00Z</cp:lastPrinted>
  <dcterms:created xsi:type="dcterms:W3CDTF">2020-05-31T22:33:00Z</dcterms:created>
  <dcterms:modified xsi:type="dcterms:W3CDTF">2020-06-05T14:00:00Z</dcterms:modified>
</cp:coreProperties>
</file>