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55AE4" w:rsidTr="0053328C">
        <w:tc>
          <w:tcPr>
            <w:tcW w:w="5000" w:type="pct"/>
            <w:shd w:val="clear" w:color="auto" w:fill="3366FF"/>
          </w:tcPr>
          <w:p w:rsidR="003271FC" w:rsidRPr="008C33D2" w:rsidRDefault="0053328C" w:rsidP="00F7010E">
            <w:pPr>
              <w:pStyle w:val="Heading1"/>
            </w:pPr>
            <w:bookmarkStart w:id="0" w:name="_GoBack"/>
            <w:bookmarkEnd w:id="0"/>
            <w:r>
              <w:t>Circle Language Spec: Relations</w:t>
            </w:r>
          </w:p>
        </w:tc>
      </w:tr>
    </w:tbl>
    <w:p w:rsidR="000F652F" w:rsidRDefault="00B84BB3" w:rsidP="003271FC">
      <w:pPr>
        <w:pStyle w:val="Heading2"/>
      </w:pPr>
      <w:r>
        <w:t>Relations Between Objects</w:t>
      </w:r>
    </w:p>
    <w:p w:rsidR="00F44432" w:rsidRDefault="00F44432" w:rsidP="00F44432">
      <w:pPr>
        <w:pStyle w:val="Heading3"/>
      </w:pPr>
      <w:r>
        <w:t>Concept</w:t>
      </w:r>
    </w:p>
    <w:p w:rsidR="00F44432" w:rsidRDefault="00F44432" w:rsidP="00F44432">
      <w:r>
        <w:t>Relations between classes set the rules for how objects can be connected to eachother.</w:t>
      </w:r>
    </w:p>
    <w:p w:rsidR="00F44432" w:rsidRDefault="00F44432" w:rsidP="00F44432">
      <w:pPr>
        <w:pStyle w:val="Spacing"/>
      </w:pPr>
    </w:p>
    <w:p w:rsidR="00F44432" w:rsidRDefault="00F44432" w:rsidP="00F44432">
      <w:r>
        <w:t xml:space="preserve">Relations between </w:t>
      </w:r>
      <w:r w:rsidRPr="009433FE">
        <w:rPr>
          <w:i/>
        </w:rPr>
        <w:t xml:space="preserve">objects </w:t>
      </w:r>
      <w:r>
        <w:t>are the actual connections.</w:t>
      </w:r>
    </w:p>
    <w:p w:rsidR="00F44432" w:rsidRDefault="00F44432" w:rsidP="00F44432">
      <w:pPr>
        <w:pStyle w:val="Spacing"/>
      </w:pPr>
    </w:p>
    <w:p w:rsidR="00F44432" w:rsidRDefault="00F44432" w:rsidP="00F44432">
      <w:r>
        <w:t xml:space="preserve">A relation between objects is always a relation between </w:t>
      </w:r>
      <w:r w:rsidRPr="00485DAB">
        <w:rPr>
          <w:i/>
        </w:rPr>
        <w:t xml:space="preserve">two </w:t>
      </w:r>
      <w:r>
        <w:t>individual objects. If one object refers to another, the other refers back to the first one.</w:t>
      </w:r>
    </w:p>
    <w:p w:rsidR="00F44432" w:rsidRDefault="00F44432" w:rsidP="00F44432">
      <w:pPr>
        <w:pStyle w:val="Spacing"/>
      </w:pPr>
    </w:p>
    <w:p w:rsidR="00F44432" w:rsidRDefault="00F44432" w:rsidP="00F44432">
      <w:r>
        <w:t xml:space="preserve">From a 1 </w:t>
      </w:r>
      <w:r>
        <w:sym w:font="Wingdings" w:char="F0E0"/>
      </w:r>
      <w:r>
        <w:t xml:space="preserve"> 1 perspective this seems logical, but from an n </w:t>
      </w:r>
      <w:r>
        <w:sym w:font="Wingdings" w:char="F0E0"/>
      </w:r>
      <w:r>
        <w:t xml:space="preserve"> n perspective this may not seem logical.</w:t>
      </w:r>
    </w:p>
    <w:p w:rsidR="00F44432" w:rsidRDefault="00F44432" w:rsidP="00F44432">
      <w:pPr>
        <w:pStyle w:val="Spacing"/>
      </w:pPr>
    </w:p>
    <w:p w:rsidR="00F44432" w:rsidRDefault="00F44432" w:rsidP="00F44432">
      <w:r>
        <w:t xml:space="preserve">A relation between two classes with each a multiplicity of </w:t>
      </w:r>
      <w:r w:rsidRPr="00795879">
        <w:rPr>
          <w:rStyle w:val="CodeChar"/>
        </w:rPr>
        <w:t>n</w:t>
      </w:r>
      <w:r>
        <w:t>, creates a related list in both of the classes. Every object of those classes will contain a related list of related items.</w:t>
      </w:r>
    </w:p>
    <w:p w:rsidR="00F44432" w:rsidRDefault="00F44432" w:rsidP="00F44432">
      <w:r>
        <w:t xml:space="preserve">Any object that as a relation to another object, gives the other object </w:t>
      </w:r>
      <w:r w:rsidRPr="00485DAB">
        <w:rPr>
          <w:i/>
        </w:rPr>
        <w:t xml:space="preserve">one </w:t>
      </w:r>
      <w:r>
        <w:t>relation back to the first object. So for each reference to an object, the other object contains a reference back. One reference inside an object is tied to one reference inside another object.</w:t>
      </w:r>
    </w:p>
    <w:p w:rsidR="00F44432" w:rsidRDefault="00F44432" w:rsidP="00F44432">
      <w:pPr>
        <w:pStyle w:val="Spacing"/>
      </w:pPr>
    </w:p>
    <w:p w:rsidR="00F44432" w:rsidRDefault="00F44432" w:rsidP="00F44432">
      <w:r>
        <w:t xml:space="preserve">One object can relate to multiple objects, so an object </w:t>
      </w:r>
      <w:r w:rsidRPr="00795879">
        <w:rPr>
          <w:i/>
        </w:rPr>
        <w:t>can</w:t>
      </w:r>
      <w:r>
        <w:t xml:space="preserve"> have a one-to-many relation to other objects, but 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>inside the other object.</w:t>
      </w:r>
    </w:p>
    <w:p w:rsidR="00F44432" w:rsidRDefault="00F44432" w:rsidP="00F44432">
      <w:pPr>
        <w:pStyle w:val="Heading3"/>
      </w:pPr>
      <w:r>
        <w:t>Diagram Notation</w:t>
      </w:r>
    </w:p>
    <w:p w:rsidR="0027394B" w:rsidRDefault="001C09EF" w:rsidP="00E8670E">
      <w:r>
        <w:t xml:space="preserve">The concept of relations between objects is explained in the article </w:t>
      </w:r>
      <w:r w:rsidRPr="001C09EF">
        <w:rPr>
          <w:i/>
        </w:rPr>
        <w:t>Relations Between Objects</w:t>
      </w:r>
      <w:r>
        <w:t>. The current article only explains its expression in a diagram.</w:t>
      </w:r>
    </w:p>
    <w:p w:rsidR="001C09EF" w:rsidRDefault="001C09EF" w:rsidP="001C09EF">
      <w:pPr>
        <w:pStyle w:val="Spacing"/>
      </w:pPr>
    </w:p>
    <w:p w:rsidR="001C09EF" w:rsidRDefault="001C09EF" w:rsidP="001C09EF">
      <w:r>
        <w:t xml:space="preserve">The main rule about relations to object is: for each reference to an object, the other object contains a reference back. </w:t>
      </w:r>
    </w:p>
    <w:p w:rsidR="001C09EF" w:rsidRDefault="001C09EF" w:rsidP="001C09EF">
      <w:pPr>
        <w:pStyle w:val="Spacing"/>
      </w:pPr>
    </w:p>
    <w:p w:rsidR="001C09EF" w:rsidRDefault="001C09EF" w:rsidP="00E8670E">
      <w:r>
        <w:t>When you draw out the separate counterparts of a relation between two objects it looks like this:</w:t>
      </w:r>
    </w:p>
    <w:p w:rsidR="001C09EF" w:rsidRDefault="001C09EF" w:rsidP="009E4EF6">
      <w:pPr>
        <w:pStyle w:val="Spacing"/>
      </w:pPr>
    </w:p>
    <w:p w:rsidR="00C95A35" w:rsidRDefault="00DA5E67" w:rsidP="001C09EF">
      <w:pPr>
        <w:ind w:left="852"/>
      </w:pPr>
      <w:r>
        <w:rPr>
          <w:noProof/>
        </w:rPr>
        <w:drawing>
          <wp:inline distT="0" distB="0" distL="0" distR="0">
            <wp:extent cx="2403475" cy="74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EF" w:rsidRDefault="001C09EF" w:rsidP="009E4EF6">
      <w:pPr>
        <w:pStyle w:val="Spacing"/>
      </w:pPr>
    </w:p>
    <w:p w:rsidR="001C09EF" w:rsidRDefault="001C09EF" w:rsidP="00E8670E">
      <w:r>
        <w:t xml:space="preserve">But to express the close relation between the two references, the two lines are merged, and disambiguated from normal object lines with a </w:t>
      </w:r>
      <w:r w:rsidRPr="001C09EF">
        <w:rPr>
          <w:i/>
        </w:rPr>
        <w:t>relation symbol</w:t>
      </w:r>
      <w:r>
        <w:t>:</w:t>
      </w:r>
    </w:p>
    <w:p w:rsidR="001C09EF" w:rsidRDefault="001C09EF" w:rsidP="009E4EF6">
      <w:pPr>
        <w:pStyle w:val="Spacing"/>
      </w:pPr>
    </w:p>
    <w:p w:rsidR="001C09EF" w:rsidRDefault="00DA5E67" w:rsidP="001C09EF">
      <w:pPr>
        <w:ind w:left="852"/>
      </w:pPr>
      <w:r>
        <w:rPr>
          <w:noProof/>
        </w:rPr>
        <w:drawing>
          <wp:inline distT="0" distB="0" distL="0" distR="0">
            <wp:extent cx="205422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EF" w:rsidRDefault="001C09EF" w:rsidP="009E4EF6">
      <w:pPr>
        <w:pStyle w:val="Spacing"/>
      </w:pPr>
    </w:p>
    <w:p w:rsidR="009E4EF6" w:rsidRDefault="001C09EF" w:rsidP="009E4EF6">
      <w:r>
        <w:t>The relation symbol is a double circle. The reason behind this</w:t>
      </w:r>
      <w:r w:rsidR="009E4EF6">
        <w:t xml:space="preserve"> </w:t>
      </w:r>
      <w:r>
        <w:t>notation</w:t>
      </w:r>
      <w:r w:rsidR="009E4EF6">
        <w:t xml:space="preserve">, was already </w:t>
      </w:r>
      <w:r>
        <w:t xml:space="preserve">explained in the article </w:t>
      </w:r>
      <w:r w:rsidRPr="001C09EF">
        <w:rPr>
          <w:i/>
        </w:rPr>
        <w:t>Relations in a Diagram</w:t>
      </w:r>
      <w:r>
        <w:t>.</w:t>
      </w:r>
      <w:r w:rsidR="009E4EF6">
        <w:t xml:space="preserve"> The notation is accomplished by first taking the original picture with one class refering to another and the other refering back to the first class:</w:t>
      </w:r>
    </w:p>
    <w:p w:rsidR="009E4EF6" w:rsidRDefault="009E4EF6" w:rsidP="009E4EF6">
      <w:pPr>
        <w:pStyle w:val="Spacing"/>
      </w:pPr>
    </w:p>
    <w:p w:rsidR="009E4EF6" w:rsidRDefault="00DA5E67" w:rsidP="009E4EF6">
      <w:pPr>
        <w:ind w:left="852"/>
      </w:pPr>
      <w:r>
        <w:rPr>
          <w:noProof/>
        </w:rPr>
        <w:drawing>
          <wp:inline distT="0" distB="0" distL="0" distR="0">
            <wp:extent cx="2403475" cy="74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F6" w:rsidRDefault="009E4EF6" w:rsidP="00C95A35">
      <w:pPr>
        <w:pStyle w:val="Spacing"/>
      </w:pPr>
    </w:p>
    <w:p w:rsidR="009E4EF6" w:rsidRDefault="009E4EF6" w:rsidP="009E4EF6">
      <w:r>
        <w:t>Then, an imaginary reference to each class is added to the diagram</w:t>
      </w:r>
    </w:p>
    <w:p w:rsidR="009E4EF6" w:rsidRDefault="009E4EF6" w:rsidP="009E4EF6">
      <w:pPr>
        <w:pStyle w:val="Spacing"/>
      </w:pPr>
    </w:p>
    <w:p w:rsidR="009E4EF6" w:rsidRDefault="00DA5E67" w:rsidP="009E4EF6">
      <w:pPr>
        <w:ind w:left="852"/>
      </w:pPr>
      <w:r>
        <w:rPr>
          <w:noProof/>
        </w:rPr>
        <w:drawing>
          <wp:inline distT="0" distB="0" distL="0" distR="0">
            <wp:extent cx="243459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F6" w:rsidRDefault="009E4EF6" w:rsidP="00C95A35">
      <w:pPr>
        <w:pStyle w:val="Spacing"/>
      </w:pPr>
    </w:p>
    <w:p w:rsidR="009E4EF6" w:rsidRDefault="009E4EF6" w:rsidP="009E4EF6">
      <w:r>
        <w:t>Next, the class lines are merged, but also the class symbols are merged:</w:t>
      </w:r>
    </w:p>
    <w:p w:rsidR="009E4EF6" w:rsidRDefault="009E4EF6" w:rsidP="009E4EF6">
      <w:pPr>
        <w:pStyle w:val="Spacing"/>
      </w:pPr>
    </w:p>
    <w:p w:rsidR="009E4EF6" w:rsidRDefault="00DA5E67" w:rsidP="009E4EF6">
      <w:pPr>
        <w:ind w:left="852"/>
      </w:pPr>
      <w:r>
        <w:rPr>
          <w:noProof/>
        </w:rPr>
        <w:drawing>
          <wp:inline distT="0" distB="0" distL="0" distR="0">
            <wp:extent cx="2054225" cy="80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F6" w:rsidRDefault="009E4EF6" w:rsidP="009E4EF6">
      <w:pPr>
        <w:pStyle w:val="Spacing"/>
      </w:pPr>
    </w:p>
    <w:p w:rsidR="009E4EF6" w:rsidRDefault="009E4EF6" w:rsidP="009E4EF6">
      <w:r>
        <w:t>The notation would still be ambiguous, if it weren’t for the double line of the merged object symbols. So a double circle symbolizes a relation between objects.</w:t>
      </w:r>
    </w:p>
    <w:p w:rsidR="009E4EF6" w:rsidRDefault="009E4EF6" w:rsidP="00C95A35">
      <w:pPr>
        <w:pStyle w:val="Spacing"/>
      </w:pPr>
    </w:p>
    <w:p w:rsidR="001C09EF" w:rsidRDefault="001C09EF" w:rsidP="00E8670E">
      <w:r>
        <w:t xml:space="preserve">For relations between classes the relation symbol is a double </w:t>
      </w:r>
      <w:r w:rsidRPr="001C09EF">
        <w:rPr>
          <w:i/>
        </w:rPr>
        <w:t xml:space="preserve">dashed </w:t>
      </w:r>
      <w:r>
        <w:t>circle. For relations between objects, the relation symbol is a doubl</w:t>
      </w:r>
      <w:r w:rsidR="009E4EF6">
        <w:t xml:space="preserve">e circle drawn with </w:t>
      </w:r>
      <w:r w:rsidR="009E4EF6" w:rsidRPr="009E4EF6">
        <w:rPr>
          <w:i/>
        </w:rPr>
        <w:t xml:space="preserve">solid </w:t>
      </w:r>
      <w:r w:rsidR="009E4EF6">
        <w:t>lines.</w:t>
      </w:r>
    </w:p>
    <w:p w:rsidR="009E4EF6" w:rsidRDefault="009E4EF6" w:rsidP="009E4EF6">
      <w:pPr>
        <w:pStyle w:val="Spacing"/>
      </w:pPr>
    </w:p>
    <w:p w:rsidR="009E4EF6" w:rsidRDefault="009E4EF6" w:rsidP="00E8670E">
      <w:r>
        <w:t xml:space="preserve">In 1 </w:t>
      </w:r>
      <w:r>
        <w:sym w:font="Wingdings" w:char="F0E0"/>
      </w:r>
      <w:r>
        <w:t xml:space="preserve"> n and n </w:t>
      </w:r>
      <w:r>
        <w:sym w:font="Wingdings" w:char="F0E0"/>
      </w:r>
      <w:r>
        <w:t xml:space="preserve"> n relations the rule, that each reference contains one reference back, also applies:</w:t>
      </w:r>
    </w:p>
    <w:p w:rsidR="009E4EF6" w:rsidRDefault="009E4EF6" w:rsidP="00C95A35">
      <w:pPr>
        <w:pStyle w:val="Spacing"/>
      </w:pPr>
    </w:p>
    <w:p w:rsidR="00C95A35" w:rsidRDefault="00C95A35" w:rsidP="00C95A35">
      <w:pPr>
        <w:ind w:left="568"/>
      </w:pPr>
      <w:r>
        <w:t xml:space="preserve">1 </w:t>
      </w:r>
      <w:r>
        <w:sym w:font="Wingdings" w:char="F0E0"/>
      </w:r>
      <w:r>
        <w:t xml:space="preserve"> n:</w:t>
      </w:r>
    </w:p>
    <w:p w:rsidR="00C95A35" w:rsidRDefault="00C95A35" w:rsidP="00C95A35">
      <w:pPr>
        <w:pStyle w:val="Spacing"/>
      </w:pPr>
    </w:p>
    <w:p w:rsidR="009E4EF6" w:rsidRDefault="00DA5E67" w:rsidP="009E4EF6">
      <w:pPr>
        <w:ind w:left="852"/>
      </w:pPr>
      <w:r>
        <w:rPr>
          <w:noProof/>
        </w:rPr>
        <w:drawing>
          <wp:inline distT="0" distB="0" distL="0" distR="0">
            <wp:extent cx="2934970" cy="185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EF" w:rsidRDefault="001C09EF" w:rsidP="00C95A35">
      <w:pPr>
        <w:pStyle w:val="Spacing"/>
      </w:pPr>
    </w:p>
    <w:p w:rsidR="00C95A35" w:rsidRDefault="00C95A35" w:rsidP="00C95A35">
      <w:r>
        <w:t xml:space="preserve">n </w:t>
      </w:r>
      <w:r>
        <w:sym w:font="Wingdings" w:char="F0E0"/>
      </w:r>
      <w:r>
        <w:t xml:space="preserve"> n:</w:t>
      </w:r>
    </w:p>
    <w:p w:rsidR="00C95A35" w:rsidRDefault="00C95A35" w:rsidP="00C95A35">
      <w:pPr>
        <w:pStyle w:val="Spacing"/>
      </w:pPr>
    </w:p>
    <w:p w:rsidR="00C95A35" w:rsidRDefault="00DA5E67" w:rsidP="00C95A35">
      <w:pPr>
        <w:ind w:left="852"/>
      </w:pPr>
      <w:r>
        <w:rPr>
          <w:noProof/>
        </w:rPr>
        <w:drawing>
          <wp:inline distT="0" distB="0" distL="0" distR="0">
            <wp:extent cx="2999740" cy="1560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35" w:rsidRDefault="00C95A35" w:rsidP="009E4EF6">
      <w:pPr>
        <w:pStyle w:val="Spacing"/>
      </w:pPr>
    </w:p>
    <w:p w:rsidR="00031913" w:rsidRDefault="009E4EF6" w:rsidP="00A37A6A">
      <w:r>
        <w:t>It doesn’t matter whether an object reference is part of a list or not:</w:t>
      </w:r>
      <w:r w:rsidR="00C95A35">
        <w:t xml:space="preserve"> every time</w:t>
      </w:r>
      <w:r>
        <w:t xml:space="preserve"> it is still </w:t>
      </w:r>
      <w:r w:rsidRPr="009E4EF6">
        <w:rPr>
          <w:i/>
        </w:rPr>
        <w:t xml:space="preserve">two </w:t>
      </w:r>
      <w:r>
        <w:t>individual object references, that are tied together.</w:t>
      </w:r>
    </w:p>
    <w:p w:rsidR="00C95A35" w:rsidRDefault="00564665" w:rsidP="00564665">
      <w:pPr>
        <w:pStyle w:val="Heading3"/>
      </w:pPr>
      <w:r>
        <w:t>Object relating to itself</w:t>
      </w:r>
    </w:p>
    <w:p w:rsidR="00564665" w:rsidRDefault="00564665" w:rsidP="00564665">
      <w:r>
        <w:t>Sometimes an object relates to itself. In a diagram this looks as follows:</w:t>
      </w:r>
    </w:p>
    <w:p w:rsidR="00564665" w:rsidRDefault="00564665" w:rsidP="00564665">
      <w:pPr>
        <w:pStyle w:val="Spacing"/>
      </w:pPr>
    </w:p>
    <w:p w:rsidR="00564665" w:rsidRPr="00564665" w:rsidRDefault="00DA5E67" w:rsidP="00564665">
      <w:pPr>
        <w:ind w:left="852"/>
      </w:pPr>
      <w:r>
        <w:rPr>
          <w:noProof/>
        </w:rPr>
        <w:drawing>
          <wp:inline distT="0" distB="0" distL="0" distR="0">
            <wp:extent cx="1532255" cy="2091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65" w:rsidRDefault="00564665" w:rsidP="00564665">
      <w:pPr>
        <w:pStyle w:val="Heading3"/>
      </w:pPr>
      <w:r>
        <w:t>Counterpart out of sight</w:t>
      </w:r>
    </w:p>
    <w:p w:rsidR="00C95A35" w:rsidRDefault="00C95A35" w:rsidP="00C95A35">
      <w:r>
        <w:t xml:space="preserve">When the counterpart of the relation is out of sight, a line should point out of the diagram. A catch there is, that you can’t see if the relation counterpart is part of a multiplicity of </w:t>
      </w:r>
      <w:r w:rsidRPr="00C95A35">
        <w:rPr>
          <w:rStyle w:val="CodeChar"/>
        </w:rPr>
        <w:t>n</w:t>
      </w:r>
      <w:r>
        <w:t xml:space="preserve"> or not. Therefore, the multiplicity is expressed at the end of th line pointing out of the diagram as follows:</w:t>
      </w:r>
    </w:p>
    <w:p w:rsidR="00C95A35" w:rsidRDefault="00C95A35" w:rsidP="00C95A35">
      <w:pPr>
        <w:pStyle w:val="Spacing"/>
      </w:pPr>
    </w:p>
    <w:p w:rsidR="00C95A35" w:rsidRDefault="00DA5E67" w:rsidP="00C95A35">
      <w:pPr>
        <w:ind w:left="852"/>
      </w:pPr>
      <w:r>
        <w:rPr>
          <w:noProof/>
        </w:rPr>
        <w:drawing>
          <wp:inline distT="0" distB="0" distL="0" distR="0">
            <wp:extent cx="1949450" cy="187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102B5A">
      <w:pPr>
        <w:pStyle w:val="Heading3"/>
      </w:pPr>
      <w:r>
        <w:t>No reuse of merged imaginary references</w:t>
      </w:r>
    </w:p>
    <w:p w:rsidR="009E4EF6" w:rsidRDefault="00102B5A" w:rsidP="00A37A6A">
      <w:r>
        <w:t>If two imaginary references have merged, to become a relation symbol, then other references to the same objects won’t connect to an imaginary reference that has merged to become a relation symbol. Relations create their own imaginary references, that aren’t reused.</w:t>
      </w:r>
    </w:p>
    <w:p w:rsidR="00102B5A" w:rsidRDefault="00102B5A" w:rsidP="00102B5A">
      <w:pPr>
        <w:pStyle w:val="Spacing"/>
      </w:pPr>
    </w:p>
    <w:p w:rsidR="00102B5A" w:rsidRDefault="00102B5A" w:rsidP="00A37A6A">
      <w:r>
        <w:t>Here is a relation between two objects:</w:t>
      </w:r>
    </w:p>
    <w:p w:rsidR="00102B5A" w:rsidRDefault="00102B5A" w:rsidP="00102B5A">
      <w:pPr>
        <w:pStyle w:val="Spacing"/>
      </w:pPr>
    </w:p>
    <w:p w:rsidR="00102B5A" w:rsidRDefault="00DA5E67" w:rsidP="00102B5A">
      <w:pPr>
        <w:ind w:left="852"/>
      </w:pPr>
      <w:r>
        <w:rPr>
          <w:noProof/>
        </w:rPr>
        <w:drawing>
          <wp:inline distT="0" distB="0" distL="0" distR="0">
            <wp:extent cx="2054225" cy="80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A37A6A"/>
    <w:p w:rsidR="00102B5A" w:rsidRDefault="00102B5A" w:rsidP="00A37A6A">
      <w:r>
        <w:t>The two objects refer to eachother. This originally consisted of two distinct references:</w:t>
      </w:r>
    </w:p>
    <w:p w:rsidR="00102B5A" w:rsidRDefault="00102B5A" w:rsidP="00102B5A">
      <w:pPr>
        <w:pStyle w:val="Spacing"/>
      </w:pPr>
    </w:p>
    <w:p w:rsidR="00102B5A" w:rsidRDefault="00DA5E67" w:rsidP="00102B5A">
      <w:pPr>
        <w:ind w:left="852"/>
      </w:pPr>
      <w:r>
        <w:rPr>
          <w:noProof/>
        </w:rPr>
        <w:drawing>
          <wp:inline distT="0" distB="0" distL="0" distR="0">
            <wp:extent cx="2403475" cy="747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102B5A">
      <w:pPr>
        <w:pStyle w:val="Spacing"/>
      </w:pPr>
    </w:p>
    <w:p w:rsidR="00102B5A" w:rsidRDefault="00102B5A" w:rsidP="00A37A6A">
      <w:r>
        <w:t>Imaginary references were put on one level higher:</w:t>
      </w:r>
    </w:p>
    <w:p w:rsidR="00102B5A" w:rsidRDefault="00102B5A" w:rsidP="00102B5A">
      <w:pPr>
        <w:pStyle w:val="Spacing"/>
      </w:pPr>
    </w:p>
    <w:p w:rsidR="00102B5A" w:rsidRDefault="00DA5E67" w:rsidP="00102B5A">
      <w:pPr>
        <w:ind w:left="852"/>
      </w:pPr>
      <w:r>
        <w:rPr>
          <w:noProof/>
        </w:rPr>
        <w:drawing>
          <wp:inline distT="0" distB="0" distL="0" distR="0">
            <wp:extent cx="243459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102B5A">
      <w:pPr>
        <w:pStyle w:val="Spacing"/>
      </w:pPr>
    </w:p>
    <w:p w:rsidR="00102B5A" w:rsidRDefault="00102B5A" w:rsidP="00102B5A">
      <w:r>
        <w:t>If other references to the same objects were also displayed in the diagram, then they would connect to the same imaginary references, put on a higher level:</w:t>
      </w:r>
    </w:p>
    <w:p w:rsidR="00102B5A" w:rsidRDefault="00102B5A" w:rsidP="00102B5A">
      <w:pPr>
        <w:pStyle w:val="Spacing"/>
      </w:pPr>
    </w:p>
    <w:p w:rsidR="004838E0" w:rsidRDefault="00DA5E67" w:rsidP="004838E0">
      <w:pPr>
        <w:pStyle w:val="Spacing"/>
        <w:ind w:left="852"/>
      </w:pPr>
      <w:r w:rsidRPr="00DF60B1">
        <w:rPr>
          <w:noProof/>
        </w:rPr>
        <w:drawing>
          <wp:inline distT="0" distB="0" distL="0" distR="0">
            <wp:extent cx="2934970" cy="1343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102B5A">
      <w:pPr>
        <w:pStyle w:val="Spacing"/>
      </w:pPr>
    </w:p>
    <w:p w:rsidR="00102B5A" w:rsidRDefault="00102B5A" w:rsidP="00102B5A">
      <w:r>
        <w:t xml:space="preserve">When you merge the imaginary references to display that two references are part of a single relation, you will not connect all </w:t>
      </w:r>
    </w:p>
    <w:p w:rsidR="00102B5A" w:rsidRDefault="00102B5A" w:rsidP="00102B5A">
      <w:r>
        <w:t>references to the merged imaginary reference:</w:t>
      </w:r>
    </w:p>
    <w:p w:rsidR="00102B5A" w:rsidRDefault="00102B5A" w:rsidP="00102B5A">
      <w:pPr>
        <w:pStyle w:val="Spacing"/>
      </w:pPr>
    </w:p>
    <w:p w:rsidR="00102B5A" w:rsidRDefault="00DA5E67" w:rsidP="00102B5A">
      <w:pPr>
        <w:ind w:left="852"/>
      </w:pPr>
      <w:r>
        <w:rPr>
          <w:noProof/>
        </w:rPr>
        <w:drawing>
          <wp:inline distT="0" distB="0" distL="0" distR="0">
            <wp:extent cx="2885440" cy="1652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102B5A">
      <w:pPr>
        <w:pStyle w:val="Spacing"/>
      </w:pPr>
    </w:p>
    <w:p w:rsidR="00102B5A" w:rsidRDefault="00102B5A" w:rsidP="00A37A6A">
      <w:r>
        <w:t>You will keep separate imaginary references for the other unary relations to the objects:</w:t>
      </w:r>
    </w:p>
    <w:p w:rsidR="00102B5A" w:rsidRDefault="00102B5A" w:rsidP="004838E0">
      <w:pPr>
        <w:pStyle w:val="Spacing"/>
      </w:pPr>
    </w:p>
    <w:p w:rsidR="00102B5A" w:rsidRDefault="00DA5E67" w:rsidP="00102B5A">
      <w:pPr>
        <w:ind w:left="852"/>
      </w:pPr>
      <w:r>
        <w:rPr>
          <w:noProof/>
        </w:rPr>
        <w:drawing>
          <wp:inline distT="0" distB="0" distL="0" distR="0">
            <wp:extent cx="2950210" cy="1177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5A" w:rsidRDefault="00102B5A" w:rsidP="00A37A6A"/>
    <w:sectPr w:rsidR="00102B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02B5A"/>
    <w:rsid w:val="00175EE4"/>
    <w:rsid w:val="00177197"/>
    <w:rsid w:val="001B7346"/>
    <w:rsid w:val="001C09EF"/>
    <w:rsid w:val="0027394B"/>
    <w:rsid w:val="002C166C"/>
    <w:rsid w:val="00311845"/>
    <w:rsid w:val="0032466D"/>
    <w:rsid w:val="003271FC"/>
    <w:rsid w:val="0041620C"/>
    <w:rsid w:val="004348B0"/>
    <w:rsid w:val="004838E0"/>
    <w:rsid w:val="004D4169"/>
    <w:rsid w:val="00510E28"/>
    <w:rsid w:val="00527EAF"/>
    <w:rsid w:val="00532D2F"/>
    <w:rsid w:val="0053328C"/>
    <w:rsid w:val="00557CFA"/>
    <w:rsid w:val="00564665"/>
    <w:rsid w:val="00571582"/>
    <w:rsid w:val="00574711"/>
    <w:rsid w:val="005F6EA3"/>
    <w:rsid w:val="006876A4"/>
    <w:rsid w:val="006B64D3"/>
    <w:rsid w:val="006F25C8"/>
    <w:rsid w:val="006F2631"/>
    <w:rsid w:val="0072125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E4EF6"/>
    <w:rsid w:val="009F2C47"/>
    <w:rsid w:val="00A37A6A"/>
    <w:rsid w:val="00A531F0"/>
    <w:rsid w:val="00AA0A55"/>
    <w:rsid w:val="00AC64AE"/>
    <w:rsid w:val="00AD0AD9"/>
    <w:rsid w:val="00B25223"/>
    <w:rsid w:val="00B633F4"/>
    <w:rsid w:val="00B84BB3"/>
    <w:rsid w:val="00BB3D63"/>
    <w:rsid w:val="00BF0D7A"/>
    <w:rsid w:val="00BF50AB"/>
    <w:rsid w:val="00C057FC"/>
    <w:rsid w:val="00C10B48"/>
    <w:rsid w:val="00C82778"/>
    <w:rsid w:val="00C95A35"/>
    <w:rsid w:val="00D06B66"/>
    <w:rsid w:val="00D55AE4"/>
    <w:rsid w:val="00DA5E67"/>
    <w:rsid w:val="00DC1C56"/>
    <w:rsid w:val="00DF2AFC"/>
    <w:rsid w:val="00DF5BE0"/>
    <w:rsid w:val="00E528EE"/>
    <w:rsid w:val="00E8670E"/>
    <w:rsid w:val="00EF2C1B"/>
    <w:rsid w:val="00F02CB5"/>
    <w:rsid w:val="00F44432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201353-2758-4F59-A5D1-A2CBF8A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2020-05-25T19:41:00Z</dcterms:created>
  <dcterms:modified xsi:type="dcterms:W3CDTF">2020-05-25T19:41:00Z</dcterms:modified>
</cp:coreProperties>
</file>