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C7060" w:rsidTr="009C7060">
        <w:tc>
          <w:tcPr>
            <w:tcW w:w="5000" w:type="pct"/>
            <w:shd w:val="clear" w:color="auto" w:fill="3366FF"/>
          </w:tcPr>
          <w:p w:rsidR="003271FC" w:rsidRPr="008C33D2" w:rsidRDefault="009C7060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E58CF" w:rsidP="003271FC">
      <w:pPr>
        <w:pStyle w:val="Heading2"/>
      </w:pPr>
      <w:r>
        <w:t xml:space="preserve">Inactive </w:t>
      </w:r>
      <w:r w:rsidR="009F6594">
        <w:t>Clause</w:t>
      </w:r>
    </w:p>
    <w:p w:rsidR="003F287B" w:rsidRDefault="00DF7D4E" w:rsidP="00982026">
      <w:r>
        <w:t>A clause is a command defined within a command.</w:t>
      </w:r>
      <w:r w:rsidR="005B7482">
        <w:t xml:space="preserve"> </w:t>
      </w:r>
      <w:r w:rsidR="00982026">
        <w:t xml:space="preserve">The article </w:t>
      </w:r>
      <w:r w:rsidR="00982026" w:rsidRPr="00982026">
        <w:rPr>
          <w:i/>
        </w:rPr>
        <w:t xml:space="preserve">Clause </w:t>
      </w:r>
      <w:r w:rsidR="00982026">
        <w:t>explains the general properties of clause</w:t>
      </w:r>
      <w:r w:rsidR="00DD15F6">
        <w:t>s</w:t>
      </w:r>
      <w:r w:rsidR="00982026">
        <w:t xml:space="preserve">. </w:t>
      </w:r>
      <w:r w:rsidR="00AD57C1">
        <w:t xml:space="preserve">An </w:t>
      </w:r>
      <w:r w:rsidR="00D7216C" w:rsidRPr="00DD15F6">
        <w:rPr>
          <w:i/>
        </w:rPr>
        <w:t>inactive</w:t>
      </w:r>
      <w:r w:rsidR="00D7216C">
        <w:t xml:space="preserve"> clause </w:t>
      </w:r>
      <w:r>
        <w:t xml:space="preserve">is only executed when </w:t>
      </w:r>
      <w:r w:rsidR="00AD57C1">
        <w:t xml:space="preserve">it is </w:t>
      </w:r>
      <w:r>
        <w:t>called.</w:t>
      </w:r>
      <w:r w:rsidR="005B7482">
        <w:t xml:space="preserve"> </w:t>
      </w:r>
      <w:r w:rsidR="00CE6719">
        <w:t>An inactive clause can be called and referenced like any other command.</w:t>
      </w:r>
      <w:r w:rsidR="005B7482">
        <w:t xml:space="preserve"> </w:t>
      </w:r>
      <w:r w:rsidR="00612148">
        <w:t>I</w:t>
      </w:r>
      <w:r>
        <w:t xml:space="preserve">t is common to pass a reference to an inactive clause to </w:t>
      </w:r>
      <w:r w:rsidR="008416C5">
        <w:t>an execution control command</w:t>
      </w:r>
      <w:r>
        <w:t>, such as</w:t>
      </w:r>
      <w:r w:rsidR="00D7216C">
        <w:t xml:space="preserve"> </w:t>
      </w:r>
      <w:r w:rsidR="00207926">
        <w:t xml:space="preserve">a </w:t>
      </w:r>
      <w:r w:rsidR="00D7216C">
        <w:t>co</w:t>
      </w:r>
      <w:r w:rsidR="00641A94">
        <w:t>n</w:t>
      </w:r>
      <w:r w:rsidR="00D7216C">
        <w:t>ditional executi</w:t>
      </w:r>
      <w:r w:rsidR="00207926">
        <w:t>on</w:t>
      </w:r>
      <w:r w:rsidR="00D7216C">
        <w:t xml:space="preserve"> </w:t>
      </w:r>
      <w:r w:rsidR="002F12FB">
        <w:t>or a loop</w:t>
      </w:r>
      <w:r w:rsidR="008416C5">
        <w:t xml:space="preserve"> (see the </w:t>
      </w:r>
      <w:r w:rsidR="008416C5" w:rsidRPr="008416C5">
        <w:rPr>
          <w:i/>
        </w:rPr>
        <w:t xml:space="preserve">Execution Control </w:t>
      </w:r>
      <w:r w:rsidR="008416C5">
        <w:t>articles)</w:t>
      </w:r>
      <w:r>
        <w:t>.</w:t>
      </w:r>
      <w:r w:rsidR="005B7482">
        <w:t xml:space="preserve"> </w:t>
      </w:r>
      <w:r w:rsidR="003F287B">
        <w:t xml:space="preserve">An inactive clause </w:t>
      </w:r>
      <w:r w:rsidR="003F287B" w:rsidRPr="0062494C">
        <w:rPr>
          <w:i/>
        </w:rPr>
        <w:t xml:space="preserve">is </w:t>
      </w:r>
      <w:r w:rsidR="00853E77">
        <w:t>a command definition</w:t>
      </w:r>
      <w:r w:rsidR="005F7A89">
        <w:t xml:space="preserve">, </w:t>
      </w:r>
      <w:r w:rsidR="003F287B">
        <w:t>with a fixed logical residence insi</w:t>
      </w:r>
      <w:r w:rsidR="00612148">
        <w:t>de another command</w:t>
      </w:r>
      <w:r w:rsidR="00F77C1E">
        <w:t>.</w:t>
      </w:r>
    </w:p>
    <w:p w:rsidR="00954D31" w:rsidRDefault="00E63B0F" w:rsidP="00E63B0F">
      <w:pPr>
        <w:pStyle w:val="Heading3"/>
      </w:pPr>
      <w:r>
        <w:t>In a Diagram</w:t>
      </w:r>
    </w:p>
    <w:p w:rsidR="00E63B0F" w:rsidRDefault="00E63B0F" w:rsidP="00E63B0F">
      <w:r>
        <w:t>A clause is a command defined within a command.</w:t>
      </w:r>
    </w:p>
    <w:p w:rsidR="00E63B0F" w:rsidRDefault="00E63B0F" w:rsidP="00E63B0F">
      <w:pPr>
        <w:pStyle w:val="Spacing"/>
      </w:pPr>
    </w:p>
    <w:p w:rsidR="00E63B0F" w:rsidRDefault="00E63B0F" w:rsidP="00E63B0F">
      <w:r>
        <w:t>An inactive clause is shown in a diagram as a square inside another command symbol.</w:t>
      </w:r>
    </w:p>
    <w:p w:rsidR="00E63B0F" w:rsidRDefault="00E63B0F" w:rsidP="00E63B0F">
      <w:pPr>
        <w:pStyle w:val="Spacing"/>
      </w:pPr>
    </w:p>
    <w:p w:rsidR="00E63B0F" w:rsidRDefault="00E63B0F" w:rsidP="00E63B0F">
      <w:pPr>
        <w:ind w:left="852"/>
      </w:pPr>
      <w:r>
        <w:rPr>
          <w:noProof/>
        </w:rPr>
        <w:drawing>
          <wp:inline distT="0" distB="0" distL="0" distR="0" wp14:anchorId="1D315DEE" wp14:editId="09ED33AE">
            <wp:extent cx="587375" cy="58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0F" w:rsidRDefault="00E63B0F" w:rsidP="00E63B0F">
      <w:pPr>
        <w:pStyle w:val="Spacing"/>
      </w:pPr>
    </w:p>
    <w:p w:rsidR="00E63B0F" w:rsidRDefault="00E63B0F" w:rsidP="00E63B0F">
      <w:r>
        <w:t>A clause can just as well be placed inside a diamond, instead of a square:</w:t>
      </w:r>
    </w:p>
    <w:p w:rsidR="00E63B0F" w:rsidRDefault="00E63B0F" w:rsidP="00E63B0F">
      <w:pPr>
        <w:pStyle w:val="Spacing"/>
      </w:pPr>
    </w:p>
    <w:p w:rsidR="00E63B0F" w:rsidRDefault="00E63B0F" w:rsidP="00E63B0F">
      <w:pPr>
        <w:ind w:left="852"/>
      </w:pPr>
      <w:r>
        <w:rPr>
          <w:noProof/>
        </w:rPr>
        <w:drawing>
          <wp:inline distT="0" distB="0" distL="0" distR="0" wp14:anchorId="6BE440DF" wp14:editId="2E99A0BA">
            <wp:extent cx="438150" cy="88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0F" w:rsidRDefault="00E63B0F" w:rsidP="00E63B0F">
      <w:pPr>
        <w:pStyle w:val="Spacing"/>
      </w:pPr>
    </w:p>
    <w:p w:rsidR="00E63B0F" w:rsidRDefault="00E63B0F" w:rsidP="00E63B0F">
      <w:r>
        <w:t>A clause will never redirect its definition or object to another command.</w:t>
      </w:r>
    </w:p>
    <w:sectPr w:rsidR="00E63B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3B4"/>
    <w:rsid w:val="00013DA6"/>
    <w:rsid w:val="0001638E"/>
    <w:rsid w:val="00024580"/>
    <w:rsid w:val="00031913"/>
    <w:rsid w:val="000337A3"/>
    <w:rsid w:val="0003688D"/>
    <w:rsid w:val="000448E0"/>
    <w:rsid w:val="00053E87"/>
    <w:rsid w:val="00064403"/>
    <w:rsid w:val="00083CD2"/>
    <w:rsid w:val="000C7D9D"/>
    <w:rsid w:val="000D0436"/>
    <w:rsid w:val="000D7022"/>
    <w:rsid w:val="000F652F"/>
    <w:rsid w:val="00175EE4"/>
    <w:rsid w:val="00177197"/>
    <w:rsid w:val="001B7346"/>
    <w:rsid w:val="00207926"/>
    <w:rsid w:val="0027394B"/>
    <w:rsid w:val="002C166C"/>
    <w:rsid w:val="002E38E1"/>
    <w:rsid w:val="002F12FB"/>
    <w:rsid w:val="00311845"/>
    <w:rsid w:val="0032466D"/>
    <w:rsid w:val="003271FC"/>
    <w:rsid w:val="003A6F3F"/>
    <w:rsid w:val="003F287B"/>
    <w:rsid w:val="0041620C"/>
    <w:rsid w:val="004348B0"/>
    <w:rsid w:val="00490BD6"/>
    <w:rsid w:val="004D4169"/>
    <w:rsid w:val="004F5D0A"/>
    <w:rsid w:val="00532D2F"/>
    <w:rsid w:val="00571582"/>
    <w:rsid w:val="00574711"/>
    <w:rsid w:val="005A1878"/>
    <w:rsid w:val="005B7482"/>
    <w:rsid w:val="005F7A89"/>
    <w:rsid w:val="00612148"/>
    <w:rsid w:val="00641A94"/>
    <w:rsid w:val="006876A4"/>
    <w:rsid w:val="006B64D3"/>
    <w:rsid w:val="006E5186"/>
    <w:rsid w:val="006F2631"/>
    <w:rsid w:val="0071226C"/>
    <w:rsid w:val="007442B6"/>
    <w:rsid w:val="007725A3"/>
    <w:rsid w:val="007E7FC4"/>
    <w:rsid w:val="00840264"/>
    <w:rsid w:val="008416C5"/>
    <w:rsid w:val="00846B80"/>
    <w:rsid w:val="00853E77"/>
    <w:rsid w:val="008C6D6B"/>
    <w:rsid w:val="008F228C"/>
    <w:rsid w:val="00916207"/>
    <w:rsid w:val="00916A8F"/>
    <w:rsid w:val="00954D31"/>
    <w:rsid w:val="00982026"/>
    <w:rsid w:val="0098368C"/>
    <w:rsid w:val="009842C2"/>
    <w:rsid w:val="009A1E2B"/>
    <w:rsid w:val="009C617F"/>
    <w:rsid w:val="009C7060"/>
    <w:rsid w:val="009F2C47"/>
    <w:rsid w:val="009F6594"/>
    <w:rsid w:val="00A37A6A"/>
    <w:rsid w:val="00A531F0"/>
    <w:rsid w:val="00AA0A55"/>
    <w:rsid w:val="00AC64AE"/>
    <w:rsid w:val="00AD0AD9"/>
    <w:rsid w:val="00AD1B72"/>
    <w:rsid w:val="00AD57C1"/>
    <w:rsid w:val="00B25223"/>
    <w:rsid w:val="00B633F4"/>
    <w:rsid w:val="00B96C8A"/>
    <w:rsid w:val="00BE58CF"/>
    <w:rsid w:val="00BF0D7A"/>
    <w:rsid w:val="00C057FC"/>
    <w:rsid w:val="00C75D4E"/>
    <w:rsid w:val="00C82778"/>
    <w:rsid w:val="00CE6719"/>
    <w:rsid w:val="00D06B66"/>
    <w:rsid w:val="00D7216C"/>
    <w:rsid w:val="00DC1C56"/>
    <w:rsid w:val="00DD15F6"/>
    <w:rsid w:val="00DF5BE0"/>
    <w:rsid w:val="00DF7D4E"/>
    <w:rsid w:val="00E24DAF"/>
    <w:rsid w:val="00E528EE"/>
    <w:rsid w:val="00E63B0F"/>
    <w:rsid w:val="00E8670E"/>
    <w:rsid w:val="00EF2C1B"/>
    <w:rsid w:val="00F02CB5"/>
    <w:rsid w:val="00F478BB"/>
    <w:rsid w:val="00F7010E"/>
    <w:rsid w:val="00F77C1E"/>
    <w:rsid w:val="00F80C01"/>
    <w:rsid w:val="00FE6EA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66A7E"/>
  <w15:chartTrackingRefBased/>
  <w15:docId w15:val="{E5D27F15-1E34-471C-995B-035C1F64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2020-05-18T20:35:00Z</dcterms:created>
  <dcterms:modified xsi:type="dcterms:W3CDTF">2020-05-18T22:17:00Z</dcterms:modified>
</cp:coreProperties>
</file>