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52C85" w:rsidTr="00652C85">
        <w:tc>
          <w:tcPr>
            <w:tcW w:w="5000" w:type="pct"/>
            <w:shd w:val="clear" w:color="auto" w:fill="3366FF"/>
          </w:tcPr>
          <w:p w:rsidR="003271FC" w:rsidRPr="008C33D2" w:rsidRDefault="00652C85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815F62" w:rsidP="003271FC">
      <w:pPr>
        <w:pStyle w:val="Heading2"/>
      </w:pPr>
      <w:r>
        <w:t>Start &amp; Stop</w:t>
      </w:r>
      <w:r w:rsidR="00180B8B">
        <w:t xml:space="preserve"> </w:t>
      </w:r>
      <w:r w:rsidR="000B447E">
        <w:t>in a Diagram</w:t>
      </w:r>
    </w:p>
    <w:p w:rsidR="007461CC" w:rsidRDefault="007461CC" w:rsidP="00E8670E">
      <w:r>
        <w:t xml:space="preserve">Terms like start and stop were explained in the article </w:t>
      </w:r>
      <w:r w:rsidRPr="007461CC">
        <w:rPr>
          <w:i/>
        </w:rPr>
        <w:t>Start &amp; Stop</w:t>
      </w:r>
      <w:r>
        <w:t>. The current article displays their symbols.</w:t>
      </w:r>
    </w:p>
    <w:p w:rsidR="007461CC" w:rsidRDefault="007461CC" w:rsidP="007461CC">
      <w:pPr>
        <w:pStyle w:val="Spacing"/>
      </w:pPr>
    </w:p>
    <w:p w:rsidR="007461CC" w:rsidRDefault="007461CC" w:rsidP="00E8670E">
      <w:r>
        <w:t xml:space="preserve">Each of the following commands or states </w:t>
      </w:r>
      <w:r w:rsidR="00E81F12">
        <w:t>has</w:t>
      </w:r>
      <w:r>
        <w:t xml:space="preserve"> a symbol:</w:t>
      </w:r>
    </w:p>
    <w:p w:rsidR="007461CC" w:rsidRDefault="007461CC" w:rsidP="007461CC">
      <w:pPr>
        <w:pStyle w:val="Spacing"/>
      </w:pPr>
    </w:p>
    <w:p w:rsidR="007461CC" w:rsidRDefault="007461CC" w:rsidP="007461CC">
      <w:pPr>
        <w:pStyle w:val="Code"/>
        <w:ind w:left="852"/>
      </w:pPr>
      <w:r>
        <w:t>Previous</w:t>
      </w:r>
    </w:p>
    <w:p w:rsidR="007461CC" w:rsidRDefault="007461CC" w:rsidP="007461CC">
      <w:pPr>
        <w:pStyle w:val="Code"/>
        <w:ind w:left="852"/>
      </w:pPr>
      <w:r>
        <w:t>Rollback</w:t>
      </w:r>
    </w:p>
    <w:p w:rsidR="007461CC" w:rsidRDefault="007461CC" w:rsidP="007461CC">
      <w:pPr>
        <w:pStyle w:val="Code"/>
        <w:ind w:left="852"/>
      </w:pPr>
      <w:r>
        <w:t>Faster Backwards</w:t>
      </w:r>
    </w:p>
    <w:p w:rsidR="007461CC" w:rsidRDefault="007461CC" w:rsidP="007461CC">
      <w:pPr>
        <w:pStyle w:val="Code"/>
        <w:ind w:left="852"/>
      </w:pPr>
      <w:r>
        <w:t>Slower Backwards</w:t>
      </w:r>
    </w:p>
    <w:p w:rsidR="007461CC" w:rsidRDefault="007461CC" w:rsidP="007461CC">
      <w:pPr>
        <w:pStyle w:val="Code"/>
        <w:ind w:left="852"/>
      </w:pPr>
      <w:r>
        <w:t>Reverse</w:t>
      </w:r>
    </w:p>
    <w:p w:rsidR="007461CC" w:rsidRDefault="007461CC" w:rsidP="007461CC">
      <w:pPr>
        <w:pStyle w:val="Code"/>
        <w:ind w:left="852"/>
      </w:pPr>
      <w:r>
        <w:t>Play</w:t>
      </w:r>
    </w:p>
    <w:p w:rsidR="007461CC" w:rsidRDefault="007461CC" w:rsidP="007461CC">
      <w:pPr>
        <w:pStyle w:val="Code"/>
        <w:ind w:left="852"/>
      </w:pPr>
      <w:r>
        <w:t>Slower</w:t>
      </w:r>
    </w:p>
    <w:p w:rsidR="007461CC" w:rsidRDefault="007461CC" w:rsidP="007461CC">
      <w:pPr>
        <w:pStyle w:val="Code"/>
        <w:ind w:left="852"/>
      </w:pPr>
      <w:r>
        <w:t>Faster</w:t>
      </w:r>
    </w:p>
    <w:p w:rsidR="007461CC" w:rsidRDefault="007461CC" w:rsidP="007461CC">
      <w:pPr>
        <w:pStyle w:val="Code"/>
        <w:ind w:left="852"/>
      </w:pPr>
      <w:r>
        <w:t>Go To End</w:t>
      </w:r>
    </w:p>
    <w:p w:rsidR="007461CC" w:rsidRDefault="007461CC" w:rsidP="007461CC">
      <w:pPr>
        <w:pStyle w:val="Code"/>
        <w:ind w:left="852"/>
      </w:pPr>
      <w:r>
        <w:t>Next</w:t>
      </w:r>
    </w:p>
    <w:p w:rsidR="007461CC" w:rsidRDefault="007461CC" w:rsidP="007461CC">
      <w:pPr>
        <w:pStyle w:val="Code"/>
        <w:ind w:left="852"/>
      </w:pPr>
      <w:r>
        <w:t>Pause</w:t>
      </w:r>
    </w:p>
    <w:p w:rsidR="007461CC" w:rsidRDefault="007461CC" w:rsidP="007461CC">
      <w:pPr>
        <w:pStyle w:val="Code"/>
        <w:ind w:left="852"/>
      </w:pPr>
      <w:r>
        <w:t>Wait</w:t>
      </w:r>
    </w:p>
    <w:p w:rsidR="007461CC" w:rsidRDefault="007461CC" w:rsidP="007461CC">
      <w:pPr>
        <w:pStyle w:val="Code"/>
        <w:ind w:left="852"/>
      </w:pPr>
      <w:r>
        <w:t>Timer</w:t>
      </w:r>
    </w:p>
    <w:p w:rsidR="007461CC" w:rsidRDefault="007461CC" w:rsidP="007461CC">
      <w:pPr>
        <w:pStyle w:val="Code"/>
        <w:ind w:left="852"/>
      </w:pPr>
      <w:r>
        <w:t>Not Runnable</w:t>
      </w:r>
    </w:p>
    <w:p w:rsidR="007461CC" w:rsidRDefault="007461CC" w:rsidP="007461CC">
      <w:pPr>
        <w:pStyle w:val="Code"/>
        <w:ind w:left="852"/>
      </w:pPr>
      <w:r>
        <w:t>Stop</w:t>
      </w:r>
    </w:p>
    <w:p w:rsidR="007461CC" w:rsidRDefault="007461CC" w:rsidP="007461CC">
      <w:pPr>
        <w:pStyle w:val="Code"/>
        <w:ind w:left="852"/>
      </w:pPr>
      <w:r>
        <w:t>Finished</w:t>
      </w:r>
    </w:p>
    <w:p w:rsidR="007461CC" w:rsidRDefault="007461CC" w:rsidP="007461CC">
      <w:pPr>
        <w:pStyle w:val="Code"/>
        <w:ind w:left="852"/>
      </w:pPr>
      <w:r>
        <w:t>Record</w:t>
      </w:r>
    </w:p>
    <w:p w:rsidR="007461CC" w:rsidRDefault="007461CC" w:rsidP="007461CC">
      <w:pPr>
        <w:pStyle w:val="Code"/>
        <w:ind w:left="852"/>
      </w:pPr>
      <w:r>
        <w:t>Error</w:t>
      </w:r>
    </w:p>
    <w:p w:rsidR="007461CC" w:rsidRDefault="007461CC" w:rsidP="007461CC">
      <w:pPr>
        <w:pStyle w:val="Code"/>
        <w:ind w:left="852"/>
      </w:pPr>
      <w:r>
        <w:t>Warning</w:t>
      </w:r>
    </w:p>
    <w:p w:rsidR="007461CC" w:rsidRDefault="007461CC" w:rsidP="0029210A">
      <w:pPr>
        <w:pStyle w:val="Spacing"/>
      </w:pPr>
    </w:p>
    <w:p w:rsidR="007461CC" w:rsidRDefault="007461CC" w:rsidP="00E8670E">
      <w:r>
        <w:t xml:space="preserve">The symbols are just about the same as those of media players </w:t>
      </w:r>
      <w:r w:rsidR="00895B3D">
        <w:t xml:space="preserve">of </w:t>
      </w:r>
      <w:r>
        <w:t>today:</w:t>
      </w:r>
    </w:p>
    <w:p w:rsidR="001C6A80" w:rsidRDefault="001C6A80" w:rsidP="00E8670E"/>
    <w:tbl>
      <w:tblPr>
        <w:tblW w:w="5619" w:type="dxa"/>
        <w:tblInd w:w="736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shd w:val="clear" w:color="auto" w:fill="CCCCCC"/>
        <w:tblCellMar>
          <w:bottom w:w="28" w:type="dxa"/>
        </w:tblCellMar>
        <w:tblLook w:val="00BF" w:firstRow="1" w:lastRow="0" w:firstColumn="1" w:lastColumn="0" w:noHBand="0" w:noVBand="0"/>
      </w:tblPr>
      <w:tblGrid>
        <w:gridCol w:w="1064"/>
        <w:gridCol w:w="1080"/>
        <w:gridCol w:w="1260"/>
        <w:gridCol w:w="1260"/>
        <w:gridCol w:w="955"/>
      </w:tblGrid>
      <w:tr w:rsidR="001C6A80" w:rsidRPr="00652C85" w:rsidTr="00652C85">
        <w:tc>
          <w:tcPr>
            <w:tcW w:w="1064" w:type="dxa"/>
            <w:shd w:val="clear" w:color="auto" w:fill="CCCCCC"/>
          </w:tcPr>
          <w:p w:rsidR="001C6A80" w:rsidRPr="00652C85" w:rsidRDefault="00163AC6" w:rsidP="00652C85">
            <w:pPr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490855" cy="327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317500" cy="3270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327025" cy="307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168275" cy="3321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221615" cy="2552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A80" w:rsidRPr="00652C85" w:rsidTr="00652C85">
        <w:tc>
          <w:tcPr>
            <w:tcW w:w="1064" w:type="dxa"/>
            <w:shd w:val="clear" w:color="auto" w:fill="CCCCCC"/>
          </w:tcPr>
          <w:p w:rsidR="001C6A80" w:rsidRPr="00652C85" w:rsidRDefault="001C6A80" w:rsidP="00652C85">
            <w:pPr>
              <w:pStyle w:val="Spacing"/>
              <w:jc w:val="both"/>
              <w:rPr>
                <w:color w:val="333333"/>
              </w:rPr>
            </w:pPr>
          </w:p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Previous</w:t>
            </w:r>
          </w:p>
        </w:tc>
        <w:tc>
          <w:tcPr>
            <w:tcW w:w="1080" w:type="dxa"/>
            <w:shd w:val="clear" w:color="auto" w:fill="CCCCCC"/>
          </w:tcPr>
          <w:p w:rsidR="001C6A80" w:rsidRPr="00652C85" w:rsidRDefault="001C6A80" w:rsidP="00652C85">
            <w:pPr>
              <w:pStyle w:val="Spacing"/>
              <w:jc w:val="both"/>
              <w:rPr>
                <w:color w:val="333333"/>
              </w:rPr>
            </w:pPr>
          </w:p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Rollback</w:t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Faster Backwards</w:t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Slower Backwards</w:t>
            </w:r>
          </w:p>
        </w:tc>
        <w:tc>
          <w:tcPr>
            <w:tcW w:w="955" w:type="dxa"/>
            <w:shd w:val="clear" w:color="auto" w:fill="CCCCCC"/>
          </w:tcPr>
          <w:p w:rsidR="001C6A80" w:rsidRPr="00652C85" w:rsidRDefault="001C6A80" w:rsidP="00652C85">
            <w:pPr>
              <w:pStyle w:val="Spacing"/>
              <w:jc w:val="both"/>
              <w:rPr>
                <w:color w:val="333333"/>
                <w:sz w:val="6"/>
              </w:rPr>
            </w:pPr>
          </w:p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Reverse</w:t>
            </w:r>
          </w:p>
        </w:tc>
      </w:tr>
      <w:tr w:rsidR="001C6A80" w:rsidRPr="00652C85" w:rsidTr="00652C85">
        <w:tc>
          <w:tcPr>
            <w:tcW w:w="1064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108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955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</w:tr>
      <w:tr w:rsidR="001C6A80" w:rsidRPr="00652C85" w:rsidTr="00652C85">
        <w:tc>
          <w:tcPr>
            <w:tcW w:w="1064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221615" cy="2552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173355" cy="2933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307975" cy="1492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283845" cy="3321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442595" cy="3079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A80" w:rsidRPr="00652C85" w:rsidTr="00652C85">
        <w:tc>
          <w:tcPr>
            <w:tcW w:w="1064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Play</w:t>
            </w:r>
          </w:p>
        </w:tc>
        <w:tc>
          <w:tcPr>
            <w:tcW w:w="108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Slower</w:t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Faster</w:t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Spacing"/>
              <w:jc w:val="both"/>
              <w:rPr>
                <w:color w:val="333333"/>
              </w:rPr>
            </w:pPr>
          </w:p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Go To End</w:t>
            </w:r>
          </w:p>
        </w:tc>
        <w:tc>
          <w:tcPr>
            <w:tcW w:w="955" w:type="dxa"/>
            <w:shd w:val="clear" w:color="auto" w:fill="CCCCCC"/>
          </w:tcPr>
          <w:p w:rsidR="001C6A80" w:rsidRPr="00652C85" w:rsidRDefault="001C6A80" w:rsidP="00652C85">
            <w:pPr>
              <w:pStyle w:val="Spacing"/>
              <w:jc w:val="both"/>
              <w:rPr>
                <w:color w:val="333333"/>
              </w:rPr>
            </w:pPr>
          </w:p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Next</w:t>
            </w:r>
          </w:p>
        </w:tc>
      </w:tr>
      <w:tr w:rsidR="001C6A80" w:rsidRPr="00652C85" w:rsidTr="00652C85">
        <w:tc>
          <w:tcPr>
            <w:tcW w:w="1064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108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955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</w:tr>
      <w:tr w:rsidR="001C6A80" w:rsidRPr="00652C85" w:rsidTr="00652C85">
        <w:tc>
          <w:tcPr>
            <w:tcW w:w="1064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264795" cy="279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341630" cy="30289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255270" cy="2647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293370" cy="2552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264795" cy="2692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A80" w:rsidRPr="00652C85" w:rsidTr="00652C85">
        <w:tc>
          <w:tcPr>
            <w:tcW w:w="1064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Pause</w:t>
            </w:r>
          </w:p>
        </w:tc>
        <w:tc>
          <w:tcPr>
            <w:tcW w:w="1080" w:type="dxa"/>
            <w:shd w:val="clear" w:color="auto" w:fill="CCCCCC"/>
          </w:tcPr>
          <w:p w:rsidR="001C6A80" w:rsidRPr="00652C85" w:rsidRDefault="001C6A80" w:rsidP="00652C85">
            <w:pPr>
              <w:pStyle w:val="Spacing"/>
              <w:jc w:val="both"/>
              <w:rPr>
                <w:color w:val="333333"/>
              </w:rPr>
            </w:pPr>
          </w:p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Wait</w:t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Spacing"/>
              <w:jc w:val="both"/>
              <w:rPr>
                <w:color w:val="333333"/>
              </w:rPr>
            </w:pPr>
          </w:p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Timer</w:t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Not Runnable</w:t>
            </w:r>
          </w:p>
        </w:tc>
        <w:tc>
          <w:tcPr>
            <w:tcW w:w="955" w:type="dxa"/>
            <w:shd w:val="clear" w:color="auto" w:fill="CCCCCC"/>
          </w:tcPr>
          <w:p w:rsidR="001C6A80" w:rsidRPr="00652C85" w:rsidRDefault="001C6A80" w:rsidP="00652C85">
            <w:pPr>
              <w:pStyle w:val="Spacing"/>
              <w:jc w:val="both"/>
              <w:rPr>
                <w:color w:val="333333"/>
              </w:rPr>
            </w:pPr>
          </w:p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Stop</w:t>
            </w:r>
          </w:p>
        </w:tc>
      </w:tr>
      <w:tr w:rsidR="001C6A80" w:rsidRPr="00652C85" w:rsidTr="00652C85">
        <w:tc>
          <w:tcPr>
            <w:tcW w:w="1064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108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  <w:tc>
          <w:tcPr>
            <w:tcW w:w="955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</w:tr>
      <w:tr w:rsidR="001C6A80" w:rsidRPr="00652C85" w:rsidTr="00652C85">
        <w:tc>
          <w:tcPr>
            <w:tcW w:w="1064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283845" cy="3079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279400" cy="26479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351155" cy="3657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63AC6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noProof/>
                <w:color w:val="333333"/>
              </w:rPr>
              <w:drawing>
                <wp:inline distT="0" distB="0" distL="0" distR="0">
                  <wp:extent cx="351155" cy="3752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</w:tr>
      <w:tr w:rsidR="001C6A80" w:rsidRPr="00652C85" w:rsidTr="00652C85">
        <w:tc>
          <w:tcPr>
            <w:tcW w:w="1064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Finished</w:t>
            </w:r>
          </w:p>
        </w:tc>
        <w:tc>
          <w:tcPr>
            <w:tcW w:w="1080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Record</w:t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Spacing"/>
              <w:jc w:val="both"/>
              <w:rPr>
                <w:sz w:val="6"/>
              </w:rPr>
            </w:pPr>
          </w:p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Error</w:t>
            </w:r>
          </w:p>
        </w:tc>
        <w:tc>
          <w:tcPr>
            <w:tcW w:w="1260" w:type="dxa"/>
            <w:shd w:val="clear" w:color="auto" w:fill="CCCCCC"/>
          </w:tcPr>
          <w:p w:rsidR="001C6A80" w:rsidRPr="00652C85" w:rsidRDefault="001C6A80" w:rsidP="00652C85">
            <w:pPr>
              <w:pStyle w:val="Spacing"/>
              <w:jc w:val="both"/>
              <w:rPr>
                <w:color w:val="333333"/>
              </w:rPr>
            </w:pPr>
          </w:p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  <w:r w:rsidRPr="00652C85">
              <w:rPr>
                <w:color w:val="333333"/>
              </w:rPr>
              <w:t>Warning</w:t>
            </w:r>
          </w:p>
        </w:tc>
        <w:tc>
          <w:tcPr>
            <w:tcW w:w="955" w:type="dxa"/>
            <w:shd w:val="clear" w:color="auto" w:fill="CCCCCC"/>
          </w:tcPr>
          <w:p w:rsidR="001C6A80" w:rsidRPr="00652C85" w:rsidRDefault="001C6A80" w:rsidP="00652C85">
            <w:pPr>
              <w:pStyle w:val="Code"/>
              <w:ind w:left="0"/>
              <w:jc w:val="center"/>
              <w:rPr>
                <w:color w:val="333333"/>
              </w:rPr>
            </w:pPr>
          </w:p>
        </w:tc>
      </w:tr>
    </w:tbl>
    <w:p w:rsidR="001C6A80" w:rsidRDefault="001C6A80" w:rsidP="001C6A80">
      <w:pPr>
        <w:pStyle w:val="Spacing"/>
      </w:pPr>
    </w:p>
    <w:p w:rsidR="001C6A80" w:rsidRDefault="001C6A80" w:rsidP="001C6A80">
      <w:r>
        <w:t xml:space="preserve">The commands can be displayed at the bottom of the screen to execute </w:t>
      </w:r>
      <w:r w:rsidR="00E81F12">
        <w:t xml:space="preserve">a selected command or </w:t>
      </w:r>
      <w:r>
        <w:t>on a thread, that you are following.</w:t>
      </w:r>
    </w:p>
    <w:p w:rsidR="001C6A80" w:rsidRDefault="001C6A80" w:rsidP="001C6A80">
      <w:pPr>
        <w:pStyle w:val="Spacing"/>
      </w:pPr>
    </w:p>
    <w:p w:rsidR="001C6A80" w:rsidRDefault="00163AC6" w:rsidP="001C6A80">
      <w:pPr>
        <w:ind w:left="852"/>
      </w:pPr>
      <w:r>
        <w:rPr>
          <w:noProof/>
        </w:rPr>
        <w:drawing>
          <wp:inline distT="0" distB="0" distL="0" distR="0">
            <wp:extent cx="2719070" cy="13042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80" w:rsidRDefault="001C6A80" w:rsidP="001C6A80">
      <w:pPr>
        <w:pStyle w:val="Spacing"/>
      </w:pPr>
    </w:p>
    <w:p w:rsidR="001C6A80" w:rsidRDefault="001C6A80" w:rsidP="001C6A80">
      <w:r>
        <w:t>The order of the symbols</w:t>
      </w:r>
      <w:r w:rsidR="00E81F12">
        <w:t xml:space="preserve"> may become different in practic</w:t>
      </w:r>
      <w:r>
        <w:t>e. They will probably put in a straight line. Some of them can</w:t>
      </w:r>
      <w:r w:rsidR="00E81F12">
        <w:t xml:space="preserve"> no</w:t>
      </w:r>
      <w:r>
        <w:t xml:space="preserve">t even be execution </w:t>
      </w:r>
      <w:r w:rsidRPr="001C6A80">
        <w:rPr>
          <w:i/>
        </w:rPr>
        <w:t>commands</w:t>
      </w:r>
      <w:r>
        <w:t xml:space="preserve">, but can only be execution </w:t>
      </w:r>
      <w:r w:rsidRPr="001C6A80">
        <w:rPr>
          <w:i/>
        </w:rPr>
        <w:t>states</w:t>
      </w:r>
      <w:r w:rsidR="00E81F12">
        <w:t>, so those will be left out of the bottom of the screen.</w:t>
      </w:r>
    </w:p>
    <w:p w:rsidR="00A51C02" w:rsidRDefault="00A51C02" w:rsidP="007E4F16">
      <w:pPr>
        <w:pStyle w:val="Spacing"/>
      </w:pPr>
    </w:p>
    <w:p w:rsidR="00A51C02" w:rsidRDefault="00A51C02" w:rsidP="001C6A80">
      <w:r>
        <w:t>Another example display of the execution commands and execution states:</w:t>
      </w:r>
    </w:p>
    <w:p w:rsidR="007E4F16" w:rsidRDefault="007E4F16" w:rsidP="007E4F16">
      <w:pPr>
        <w:pStyle w:val="Spacing"/>
      </w:pPr>
    </w:p>
    <w:p w:rsidR="007E4F16" w:rsidRDefault="00163AC6" w:rsidP="007E4F16">
      <w:pPr>
        <w:ind w:left="852"/>
      </w:pPr>
      <w:r>
        <w:rPr>
          <w:noProof/>
        </w:rPr>
        <w:drawing>
          <wp:inline distT="0" distB="0" distL="0" distR="0">
            <wp:extent cx="4851400" cy="365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80" w:rsidRDefault="001C6A80" w:rsidP="001C6A80">
      <w:pPr>
        <w:pStyle w:val="Spacing"/>
      </w:pPr>
    </w:p>
    <w:p w:rsidR="001C6A80" w:rsidRDefault="001C6A80" w:rsidP="001C6A80">
      <w:r>
        <w:t>The following symbols are also possible candi</w:t>
      </w:r>
      <w:r w:rsidR="00AD4332">
        <w:t>d</w:t>
      </w:r>
      <w:r>
        <w:t>ates:</w:t>
      </w:r>
    </w:p>
    <w:p w:rsidR="001C6A80" w:rsidRDefault="001C6A80" w:rsidP="001C6A80">
      <w:pPr>
        <w:pStyle w:val="Spacing"/>
      </w:pPr>
    </w:p>
    <w:p w:rsidR="001C6A80" w:rsidRDefault="00163AC6" w:rsidP="001C6A80">
      <w:pPr>
        <w:ind w:left="852"/>
      </w:pPr>
      <w:r>
        <w:rPr>
          <w:noProof/>
        </w:rPr>
        <w:drawing>
          <wp:inline distT="0" distB="0" distL="0" distR="0">
            <wp:extent cx="365760" cy="341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A80">
        <w:t xml:space="preserve">  </w:t>
      </w:r>
      <w:r>
        <w:rPr>
          <w:noProof/>
        </w:rPr>
        <w:drawing>
          <wp:inline distT="0" distB="0" distL="0" distR="0">
            <wp:extent cx="375285" cy="332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80" w:rsidRDefault="001C6A80" w:rsidP="001C6A80">
      <w:pPr>
        <w:pStyle w:val="Spacing"/>
      </w:pPr>
    </w:p>
    <w:p w:rsidR="001C6A80" w:rsidRDefault="001C6A80" w:rsidP="001C6A80">
      <w:r>
        <w:t xml:space="preserve">Those symbols could set the speed of going foreward or backward, gradually changing it from </w:t>
      </w:r>
      <w:r w:rsidRPr="001C6A80">
        <w:rPr>
          <w:rStyle w:val="CodeChar"/>
        </w:rPr>
        <w:t>Faster Backwards</w:t>
      </w:r>
      <w:r>
        <w:t xml:space="preserve">, </w:t>
      </w:r>
      <w:r w:rsidR="0079738B">
        <w:rPr>
          <w:rStyle w:val="CodeChar"/>
        </w:rPr>
        <w:t>Reverse</w:t>
      </w:r>
      <w:r w:rsidR="0079738B" w:rsidRPr="0079738B">
        <w:t xml:space="preserve">, </w:t>
      </w:r>
      <w:r w:rsidRPr="001C6A80">
        <w:rPr>
          <w:rStyle w:val="CodeChar"/>
        </w:rPr>
        <w:t xml:space="preserve">Slower Backwards </w:t>
      </w:r>
      <w:r>
        <w:t xml:space="preserve">and to </w:t>
      </w:r>
      <w:r w:rsidRPr="001C6A80">
        <w:rPr>
          <w:rStyle w:val="CodeChar"/>
        </w:rPr>
        <w:t>Slower</w:t>
      </w:r>
      <w:r>
        <w:t xml:space="preserve">, </w:t>
      </w:r>
      <w:r w:rsidR="0079738B" w:rsidRPr="001C6A80">
        <w:rPr>
          <w:rStyle w:val="CodeChar"/>
        </w:rPr>
        <w:t>Play</w:t>
      </w:r>
      <w:r w:rsidR="0079738B" w:rsidRPr="0079738B">
        <w:t xml:space="preserve">, </w:t>
      </w:r>
      <w:r w:rsidRPr="001C6A80">
        <w:rPr>
          <w:rStyle w:val="CodeChar"/>
        </w:rPr>
        <w:t>Faster</w:t>
      </w:r>
      <w:r>
        <w:t xml:space="preserve">. The first symbol simply decreases the speed or makes it go faster backwards, and the second symbol simply increases the speed or makes it go </w:t>
      </w:r>
      <w:r w:rsidR="00DC3412">
        <w:t>slower</w:t>
      </w:r>
      <w:r>
        <w:t xml:space="preserve"> </w:t>
      </w:r>
      <w:r w:rsidR="00DC3412">
        <w:t>backwards</w:t>
      </w:r>
      <w:r>
        <w:t>.</w:t>
      </w:r>
    </w:p>
    <w:p w:rsidR="001C6A80" w:rsidRDefault="001C6A80" w:rsidP="001C6A80">
      <w:pPr>
        <w:pStyle w:val="Spacing"/>
      </w:pPr>
    </w:p>
    <w:p w:rsidR="001C6A80" w:rsidRDefault="00DC3412" w:rsidP="001C6A80">
      <w:r>
        <w:t xml:space="preserve">The </w:t>
      </w:r>
      <w:r w:rsidR="001C6A80">
        <w:t xml:space="preserve">symbols for actions, that a media player also has, </w:t>
      </w:r>
      <w:r>
        <w:t xml:space="preserve">were retained, </w:t>
      </w:r>
      <w:r w:rsidR="001C6A80">
        <w:t xml:space="preserve">because I just love symbolic representation and I do not see a need to invent </w:t>
      </w:r>
      <w:r w:rsidR="0067341B">
        <w:t xml:space="preserve">any other </w:t>
      </w:r>
      <w:r w:rsidR="001C6A80">
        <w:t xml:space="preserve">symbolic display for </w:t>
      </w:r>
      <w:r w:rsidR="003022A2">
        <w:t>this</w:t>
      </w:r>
      <w:r w:rsidR="001C6A80">
        <w:t>.</w:t>
      </w:r>
    </w:p>
    <w:p w:rsidR="007461CC" w:rsidRDefault="007461CC" w:rsidP="007461CC">
      <w:pPr>
        <w:pStyle w:val="Spacing"/>
      </w:pPr>
    </w:p>
    <w:p w:rsidR="007461CC" w:rsidRDefault="0067341B" w:rsidP="007461CC">
      <w:r>
        <w:t xml:space="preserve">An </w:t>
      </w:r>
      <w:r w:rsidR="007461CC">
        <w:t xml:space="preserve">execution </w:t>
      </w:r>
      <w:r>
        <w:t xml:space="preserve">state is </w:t>
      </w:r>
      <w:r w:rsidR="007461CC">
        <w:t>also be displayed at the bottom of a command symbol, to indicate its state:</w:t>
      </w:r>
    </w:p>
    <w:p w:rsidR="007461CC" w:rsidRDefault="007461CC" w:rsidP="007461CC">
      <w:pPr>
        <w:pStyle w:val="Spacing"/>
      </w:pPr>
    </w:p>
    <w:p w:rsidR="007461CC" w:rsidRDefault="00163AC6" w:rsidP="007461CC">
      <w:pPr>
        <w:ind w:left="852"/>
      </w:pPr>
      <w:r>
        <w:rPr>
          <w:noProof/>
        </w:rPr>
        <w:drawing>
          <wp:inline distT="0" distB="0" distL="0" distR="0">
            <wp:extent cx="668655" cy="1265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CC" w:rsidRDefault="007461CC" w:rsidP="007461CC">
      <w:pPr>
        <w:pStyle w:val="Spacing"/>
      </w:pPr>
    </w:p>
    <w:p w:rsidR="007461CC" w:rsidRDefault="007461CC" w:rsidP="007461CC">
      <w:pPr>
        <w:ind w:left="568"/>
      </w:pPr>
      <w:r>
        <w:t xml:space="preserve">The executable command above is currently running at normal speed, since it is in </w:t>
      </w:r>
      <w:r w:rsidRPr="007461CC">
        <w:rPr>
          <w:rStyle w:val="CodeChar"/>
        </w:rPr>
        <w:t xml:space="preserve">Play </w:t>
      </w:r>
      <w:r>
        <w:t>state. Here are more examples of executable com</w:t>
      </w:r>
      <w:r w:rsidR="0067341B">
        <w:t>mand object in different states.</w:t>
      </w:r>
    </w:p>
    <w:p w:rsidR="007461CC" w:rsidRDefault="007461CC" w:rsidP="0067341B">
      <w:pPr>
        <w:pStyle w:val="Spacing"/>
      </w:pPr>
    </w:p>
    <w:p w:rsidR="007461CC" w:rsidRDefault="007461CC" w:rsidP="007461CC">
      <w:pPr>
        <w:ind w:left="568"/>
      </w:pPr>
      <w:r>
        <w:t>The following command is paused:</w:t>
      </w:r>
    </w:p>
    <w:p w:rsidR="007461CC" w:rsidRDefault="007461CC" w:rsidP="007461CC">
      <w:pPr>
        <w:pStyle w:val="Spacing"/>
      </w:pPr>
    </w:p>
    <w:p w:rsidR="007461CC" w:rsidRDefault="00163AC6" w:rsidP="007461CC">
      <w:pPr>
        <w:ind w:left="852"/>
      </w:pPr>
      <w:r>
        <w:rPr>
          <w:noProof/>
        </w:rPr>
        <w:drawing>
          <wp:inline distT="0" distB="0" distL="0" distR="0">
            <wp:extent cx="654685" cy="13379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CC" w:rsidRDefault="007461CC" w:rsidP="007461CC">
      <w:pPr>
        <w:pStyle w:val="Spacing"/>
      </w:pPr>
    </w:p>
    <w:p w:rsidR="007461CC" w:rsidRDefault="007461CC" w:rsidP="007461CC">
      <w:r>
        <w:t>The following command is finished:</w:t>
      </w:r>
    </w:p>
    <w:p w:rsidR="007461CC" w:rsidRDefault="007461CC" w:rsidP="007461CC">
      <w:pPr>
        <w:pStyle w:val="Spacing"/>
      </w:pPr>
    </w:p>
    <w:p w:rsidR="007461CC" w:rsidRDefault="00163AC6" w:rsidP="007461CC">
      <w:pPr>
        <w:ind w:left="852"/>
      </w:pPr>
      <w:r>
        <w:rPr>
          <w:noProof/>
        </w:rPr>
        <w:drawing>
          <wp:inline distT="0" distB="0" distL="0" distR="0">
            <wp:extent cx="553720" cy="1231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1B" w:rsidRDefault="0067341B" w:rsidP="0067341B">
      <w:pPr>
        <w:pStyle w:val="Spacing"/>
      </w:pPr>
    </w:p>
    <w:p w:rsidR="003C5175" w:rsidRDefault="003C5175" w:rsidP="0067341B">
      <w:r>
        <w:t xml:space="preserve">The following command is </w:t>
      </w:r>
      <w:r w:rsidR="0029210A">
        <w:t>recording</w:t>
      </w:r>
      <w:r>
        <w:t>:</w:t>
      </w:r>
    </w:p>
    <w:p w:rsidR="003C5175" w:rsidRDefault="003C5175" w:rsidP="0067341B"/>
    <w:p w:rsidR="003C5175" w:rsidRDefault="00163AC6" w:rsidP="003C5175">
      <w:pPr>
        <w:ind w:left="852"/>
      </w:pPr>
      <w:r>
        <w:rPr>
          <w:noProof/>
        </w:rPr>
        <w:drawing>
          <wp:inline distT="0" distB="0" distL="0" distR="0">
            <wp:extent cx="587375" cy="1231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75" w:rsidRDefault="003C5175" w:rsidP="003C5175">
      <w:pPr>
        <w:pStyle w:val="Spacing"/>
      </w:pPr>
    </w:p>
    <w:p w:rsidR="003C5175" w:rsidRDefault="003C5175" w:rsidP="003C5175">
      <w:r>
        <w:t>The following command is not executable</w:t>
      </w:r>
      <w:r w:rsidR="001C6C7E">
        <w:t xml:space="preserve"> at all</w:t>
      </w:r>
      <w:r>
        <w:t>:</w:t>
      </w:r>
    </w:p>
    <w:p w:rsidR="003C5175" w:rsidRDefault="003C5175" w:rsidP="003C5175">
      <w:pPr>
        <w:pStyle w:val="Spacing"/>
      </w:pPr>
    </w:p>
    <w:p w:rsidR="003C5175" w:rsidRDefault="00163AC6" w:rsidP="003C5175">
      <w:pPr>
        <w:ind w:left="852"/>
      </w:pPr>
      <w:r>
        <w:rPr>
          <w:noProof/>
        </w:rPr>
        <w:drawing>
          <wp:inline distT="0" distB="0" distL="0" distR="0">
            <wp:extent cx="645160" cy="1453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75" w:rsidRDefault="003C5175" w:rsidP="003C5175">
      <w:pPr>
        <w:pStyle w:val="Spacing"/>
      </w:pPr>
    </w:p>
    <w:p w:rsidR="0067341B" w:rsidRDefault="001C6C7E" w:rsidP="0067341B">
      <w:r>
        <w:t>A</w:t>
      </w:r>
      <w:r w:rsidR="0067341B">
        <w:t xml:space="preserve">ny execution state can be indicated for </w:t>
      </w:r>
      <w:r>
        <w:t xml:space="preserve">a </w:t>
      </w:r>
      <w:r w:rsidR="0067341B">
        <w:t>command</w:t>
      </w:r>
      <w:r w:rsidR="00CD6B89">
        <w:t xml:space="preserve"> object</w:t>
      </w:r>
      <w:r w:rsidR="00CC1CB6">
        <w:t xml:space="preserve"> like that</w:t>
      </w:r>
      <w:r w:rsidR="0067341B">
        <w:t>.</w:t>
      </w:r>
    </w:p>
    <w:sectPr w:rsidR="0067341B" w:rsidSect="00E81F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B447E"/>
    <w:rsid w:val="000C7D9D"/>
    <w:rsid w:val="000D7022"/>
    <w:rsid w:val="000F652F"/>
    <w:rsid w:val="00163AC6"/>
    <w:rsid w:val="00175EE4"/>
    <w:rsid w:val="00177197"/>
    <w:rsid w:val="00180B8B"/>
    <w:rsid w:val="001B7346"/>
    <w:rsid w:val="001C0F13"/>
    <w:rsid w:val="001C6A80"/>
    <w:rsid w:val="001C6C7E"/>
    <w:rsid w:val="00200B5F"/>
    <w:rsid w:val="0027394B"/>
    <w:rsid w:val="0029210A"/>
    <w:rsid w:val="002C166C"/>
    <w:rsid w:val="003022A2"/>
    <w:rsid w:val="00311845"/>
    <w:rsid w:val="0032466D"/>
    <w:rsid w:val="003271FC"/>
    <w:rsid w:val="00397686"/>
    <w:rsid w:val="003B78C9"/>
    <w:rsid w:val="003C5175"/>
    <w:rsid w:val="003D3C6A"/>
    <w:rsid w:val="0041620C"/>
    <w:rsid w:val="004348B0"/>
    <w:rsid w:val="00484C04"/>
    <w:rsid w:val="004B174F"/>
    <w:rsid w:val="004D4169"/>
    <w:rsid w:val="00532D2F"/>
    <w:rsid w:val="00571582"/>
    <w:rsid w:val="00574711"/>
    <w:rsid w:val="005A1878"/>
    <w:rsid w:val="00652C85"/>
    <w:rsid w:val="0067341B"/>
    <w:rsid w:val="006876A4"/>
    <w:rsid w:val="006B64D3"/>
    <w:rsid w:val="006F2631"/>
    <w:rsid w:val="007442B6"/>
    <w:rsid w:val="007461CC"/>
    <w:rsid w:val="0079738B"/>
    <w:rsid w:val="007A274F"/>
    <w:rsid w:val="007E4F16"/>
    <w:rsid w:val="007E7FC4"/>
    <w:rsid w:val="00815F62"/>
    <w:rsid w:val="00840264"/>
    <w:rsid w:val="00846B80"/>
    <w:rsid w:val="00894A31"/>
    <w:rsid w:val="00895B3D"/>
    <w:rsid w:val="008C6D6B"/>
    <w:rsid w:val="008F228C"/>
    <w:rsid w:val="00916207"/>
    <w:rsid w:val="00916A8F"/>
    <w:rsid w:val="00954D31"/>
    <w:rsid w:val="00992AF5"/>
    <w:rsid w:val="00993644"/>
    <w:rsid w:val="009A1E2B"/>
    <w:rsid w:val="009C617F"/>
    <w:rsid w:val="009D5A56"/>
    <w:rsid w:val="009F2C47"/>
    <w:rsid w:val="00A37A6A"/>
    <w:rsid w:val="00A51C02"/>
    <w:rsid w:val="00A531F0"/>
    <w:rsid w:val="00A705BE"/>
    <w:rsid w:val="00AA0A55"/>
    <w:rsid w:val="00AC64AE"/>
    <w:rsid w:val="00AD0AD9"/>
    <w:rsid w:val="00AD4332"/>
    <w:rsid w:val="00B25223"/>
    <w:rsid w:val="00B3149A"/>
    <w:rsid w:val="00B40000"/>
    <w:rsid w:val="00B633F4"/>
    <w:rsid w:val="00B953F5"/>
    <w:rsid w:val="00BF0D7A"/>
    <w:rsid w:val="00C057FC"/>
    <w:rsid w:val="00C82778"/>
    <w:rsid w:val="00CC1CB6"/>
    <w:rsid w:val="00CD6B89"/>
    <w:rsid w:val="00D06B66"/>
    <w:rsid w:val="00DC1C56"/>
    <w:rsid w:val="00DC3412"/>
    <w:rsid w:val="00DF5BE0"/>
    <w:rsid w:val="00E03576"/>
    <w:rsid w:val="00E33E59"/>
    <w:rsid w:val="00E528EE"/>
    <w:rsid w:val="00E81F12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D19EE3-0D0D-4D0D-8C01-6A327D3F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1C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2020-05-18T20:35:00Z</dcterms:created>
  <dcterms:modified xsi:type="dcterms:W3CDTF">2020-05-18T20:35:00Z</dcterms:modified>
</cp:coreProperties>
</file>