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2934C5" w:rsidTr="002934C5">
        <w:tc>
          <w:tcPr>
            <w:tcW w:w="5000" w:type="pct"/>
            <w:shd w:val="clear" w:color="auto" w:fill="3366FF"/>
          </w:tcPr>
          <w:p w:rsidR="003271FC" w:rsidRPr="008C33D2" w:rsidRDefault="002934C5" w:rsidP="00F7010E">
            <w:pPr>
              <w:pStyle w:val="Heading1"/>
            </w:pPr>
            <w:r>
              <w:t>Circle Language Spec: Commands</w:t>
            </w:r>
          </w:p>
        </w:tc>
      </w:tr>
    </w:tbl>
    <w:p w:rsidR="00434C4A" w:rsidRDefault="00B87DB2" w:rsidP="003271FC">
      <w:pPr>
        <w:pStyle w:val="Heading2"/>
      </w:pPr>
      <w:r>
        <w:t xml:space="preserve">Inactive </w:t>
      </w:r>
      <w:r w:rsidR="00B3521C">
        <w:t>Command Object Redirection</w:t>
      </w:r>
      <w:r w:rsidR="002767A5">
        <w:t xml:space="preserve"> </w:t>
      </w:r>
    </w:p>
    <w:p w:rsidR="00434C4A" w:rsidRDefault="00434C4A" w:rsidP="00434C4A">
      <w:r>
        <w:t>An inactive command object redirection makes an inactive command symbol a command reference.</w:t>
      </w:r>
    </w:p>
    <w:p w:rsidR="00434C4A" w:rsidRDefault="00434C4A" w:rsidP="00434C4A">
      <w:pPr>
        <w:pStyle w:val="Spacing"/>
      </w:pPr>
    </w:p>
    <w:p w:rsidR="00434C4A" w:rsidRPr="003271FC" w:rsidRDefault="00434C4A" w:rsidP="00434C4A">
      <w:r>
        <w:t>An inactive command reference can point to another inactive command as well as to an active command object.</w:t>
      </w:r>
    </w:p>
    <w:p w:rsidR="00434C4A" w:rsidRDefault="00434C4A" w:rsidP="00E8670E"/>
    <w:p w:rsidR="00B87DB2" w:rsidRDefault="00B87DB2" w:rsidP="00E8670E">
      <w:bookmarkStart w:id="0" w:name="_GoBack"/>
      <w:bookmarkEnd w:id="0"/>
      <w:r>
        <w:t>The picture below displays an inactive command, that redirects its definition to another inactive command.</w:t>
      </w:r>
    </w:p>
    <w:p w:rsidR="00B87DB2" w:rsidRDefault="00B87DB2" w:rsidP="00B87DB2">
      <w:pPr>
        <w:pStyle w:val="Spacing"/>
      </w:pPr>
    </w:p>
    <w:p w:rsidR="00B87DB2" w:rsidRDefault="00083C57" w:rsidP="00B87DB2">
      <w:pPr>
        <w:ind w:left="852"/>
      </w:pPr>
      <w:r>
        <w:rPr>
          <w:noProof/>
        </w:rPr>
        <w:drawing>
          <wp:inline distT="0" distB="0" distL="0" distR="0">
            <wp:extent cx="2155825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B2" w:rsidRDefault="00B87DB2" w:rsidP="00B87DB2">
      <w:pPr>
        <w:pStyle w:val="Spacing"/>
      </w:pPr>
    </w:p>
    <w:p w:rsidR="00B87DB2" w:rsidRDefault="00B87DB2" w:rsidP="00E8670E">
      <w:r>
        <w:t xml:space="preserve">Inactive command symbol </w:t>
      </w:r>
      <w:r w:rsidRPr="00B87DB2">
        <w:rPr>
          <w:rStyle w:val="CodeChar"/>
        </w:rPr>
        <w:t>A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Inactive command symbol </w:t>
      </w:r>
      <w:r w:rsidRPr="00B87DB2">
        <w:rPr>
          <w:rStyle w:val="CodeChar"/>
        </w:rPr>
        <w:t>A</w:t>
      </w:r>
      <w:r>
        <w:t xml:space="preserve"> redirects to the inactive command symbol </w:t>
      </w:r>
      <w:r w:rsidRPr="00B87DB2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also a square because it is also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solid line, which is an object line. The direction of the line is indicated by a line dissector, close to symbol </w:t>
      </w:r>
      <w:r w:rsidRPr="00B87DB2">
        <w:rPr>
          <w:rStyle w:val="CodeChar"/>
        </w:rPr>
        <w:t>B</w:t>
      </w:r>
      <w:r>
        <w:t>.</w:t>
      </w:r>
    </w:p>
    <w:p w:rsidR="008A7AA8" w:rsidRDefault="008A7AA8" w:rsidP="008A7AA8">
      <w:pPr>
        <w:pStyle w:val="Spacing"/>
      </w:pPr>
    </w:p>
    <w:p w:rsidR="008A7AA8" w:rsidRDefault="008A7AA8" w:rsidP="00E8670E">
      <w:r>
        <w:t xml:space="preserve">Symbol </w:t>
      </w:r>
      <w:r w:rsidRPr="008A7AA8">
        <w:rPr>
          <w:rStyle w:val="CodeChar"/>
        </w:rPr>
        <w:t>B</w:t>
      </w:r>
      <w:r>
        <w:t xml:space="preserve"> could also be replaced by a diamond, because </w:t>
      </w:r>
      <w:r w:rsidR="002231C4">
        <w:t xml:space="preserve">inactive pointers to </w:t>
      </w:r>
      <w:r>
        <w:t>active command</w:t>
      </w:r>
      <w:r w:rsidR="002231C4">
        <w:t>s are allowed</w:t>
      </w:r>
      <w:r>
        <w:t>.</w:t>
      </w:r>
    </w:p>
    <w:p w:rsidR="00A34EEE" w:rsidRDefault="00A34EEE" w:rsidP="00A34EEE">
      <w:pPr>
        <w:pStyle w:val="Spacing"/>
      </w:pPr>
    </w:p>
    <w:p w:rsidR="00954D31" w:rsidRPr="003271FC" w:rsidRDefault="00083C57" w:rsidP="002934C5">
      <w:pPr>
        <w:ind w:left="852"/>
      </w:pPr>
      <w:r>
        <w:rPr>
          <w:noProof/>
        </w:rPr>
        <w:drawing>
          <wp:inline distT="0" distB="0" distL="0" distR="0">
            <wp:extent cx="2189480" cy="87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3C57"/>
    <w:rsid w:val="000966C9"/>
    <w:rsid w:val="000C7D9D"/>
    <w:rsid w:val="000D7022"/>
    <w:rsid w:val="000F652F"/>
    <w:rsid w:val="001279BA"/>
    <w:rsid w:val="00175EE4"/>
    <w:rsid w:val="00177197"/>
    <w:rsid w:val="001B7346"/>
    <w:rsid w:val="002231C4"/>
    <w:rsid w:val="0027394B"/>
    <w:rsid w:val="002767A5"/>
    <w:rsid w:val="002934C5"/>
    <w:rsid w:val="002C166C"/>
    <w:rsid w:val="00311845"/>
    <w:rsid w:val="0032466D"/>
    <w:rsid w:val="003271FC"/>
    <w:rsid w:val="003B4431"/>
    <w:rsid w:val="0041620C"/>
    <w:rsid w:val="004348B0"/>
    <w:rsid w:val="00434C4A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82177"/>
    <w:rsid w:val="008A7AA8"/>
    <w:rsid w:val="008C6D6B"/>
    <w:rsid w:val="008D5C8F"/>
    <w:rsid w:val="008F228C"/>
    <w:rsid w:val="00916207"/>
    <w:rsid w:val="00916A8F"/>
    <w:rsid w:val="00954D31"/>
    <w:rsid w:val="009A1E2B"/>
    <w:rsid w:val="009C617F"/>
    <w:rsid w:val="009F2C47"/>
    <w:rsid w:val="00A34EEE"/>
    <w:rsid w:val="00A37A6A"/>
    <w:rsid w:val="00A531F0"/>
    <w:rsid w:val="00A56778"/>
    <w:rsid w:val="00A62A65"/>
    <w:rsid w:val="00A762F0"/>
    <w:rsid w:val="00A82391"/>
    <w:rsid w:val="00AA0A55"/>
    <w:rsid w:val="00AC64AE"/>
    <w:rsid w:val="00AD0AD9"/>
    <w:rsid w:val="00B25223"/>
    <w:rsid w:val="00B331B7"/>
    <w:rsid w:val="00B3521C"/>
    <w:rsid w:val="00B633F4"/>
    <w:rsid w:val="00B87DB2"/>
    <w:rsid w:val="00BF0D7A"/>
    <w:rsid w:val="00C057FC"/>
    <w:rsid w:val="00C82778"/>
    <w:rsid w:val="00D06B66"/>
    <w:rsid w:val="00DC1C56"/>
    <w:rsid w:val="00DC3724"/>
    <w:rsid w:val="00DF5BE0"/>
    <w:rsid w:val="00E05B2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F9C1D"/>
  <w15:chartTrackingRefBased/>
  <w15:docId w15:val="{7AF54696-A75E-48CF-AE56-AC71AAD6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2020-05-18T20:40:00Z</dcterms:created>
  <dcterms:modified xsi:type="dcterms:W3CDTF">2020-05-18T22:09:00Z</dcterms:modified>
</cp:coreProperties>
</file>