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E71963" w:rsidTr="00E71963">
        <w:tc>
          <w:tcPr>
            <w:tcW w:w="5000" w:type="pct"/>
            <w:shd w:val="clear" w:color="auto" w:fill="3366FF"/>
          </w:tcPr>
          <w:p w:rsidR="003271FC" w:rsidRPr="008C33D2" w:rsidRDefault="001E7249" w:rsidP="00F7010E">
            <w:pPr>
              <w:pStyle w:val="Heading1"/>
            </w:pPr>
            <w:bookmarkStart w:id="0" w:name="_GoBack"/>
            <w:bookmarkEnd w:id="0"/>
            <w:r>
              <w:t>Circle Language Spec: Execution Control</w:t>
            </w:r>
          </w:p>
        </w:tc>
      </w:tr>
    </w:tbl>
    <w:p w:rsidR="000F652F" w:rsidRDefault="00B741DA" w:rsidP="003271FC">
      <w:pPr>
        <w:pStyle w:val="Heading2"/>
      </w:pPr>
      <w:r>
        <w:t>Execution Control in a Diagram</w:t>
      </w:r>
    </w:p>
    <w:p w:rsidR="004A311C" w:rsidRDefault="004A311C" w:rsidP="004A311C">
      <w:r>
        <w:t xml:space="preserve">The concept of execution control is explained in the article </w:t>
      </w:r>
      <w:r>
        <w:rPr>
          <w:i/>
        </w:rPr>
        <w:t>Execution Control</w:t>
      </w:r>
      <w:r>
        <w:t>. The current article demonstrates its expression in a diagram.</w:t>
      </w:r>
    </w:p>
    <w:p w:rsidR="004A311C" w:rsidRDefault="004A311C" w:rsidP="004A311C">
      <w:pPr>
        <w:pStyle w:val="Spacing"/>
      </w:pPr>
    </w:p>
    <w:p w:rsidR="009C3F5C" w:rsidRDefault="004A311C" w:rsidP="009C3F5C">
      <w:r>
        <w:t>The articles, that will follow, explain the diagram expression separately for each execution control statement. But t</w:t>
      </w:r>
      <w:r w:rsidR="009C3F5C">
        <w:t xml:space="preserve">o explain </w:t>
      </w:r>
      <w:r>
        <w:t xml:space="preserve">their expression </w:t>
      </w:r>
      <w:r w:rsidR="009C3F5C">
        <w:t xml:space="preserve">in general, the </w:t>
      </w:r>
      <w:r w:rsidR="009C3F5C" w:rsidRPr="009C3F5C">
        <w:rPr>
          <w:rStyle w:val="CodeChar"/>
        </w:rPr>
        <w:t>If</w:t>
      </w:r>
      <w:r w:rsidR="009C3F5C">
        <w:t xml:space="preserve"> stat</w:t>
      </w:r>
      <w:r>
        <w:t>ement is used as an example here</w:t>
      </w:r>
      <w:r w:rsidR="009C3F5C">
        <w:t>.</w:t>
      </w:r>
    </w:p>
    <w:p w:rsidR="009C3F5C" w:rsidRDefault="009C3F5C" w:rsidP="00CB2DF8">
      <w:pPr>
        <w:pStyle w:val="Spacing"/>
      </w:pPr>
    </w:p>
    <w:p w:rsidR="009C3F5C" w:rsidRDefault="009C3F5C" w:rsidP="009C3F5C">
      <w:r>
        <w:t xml:space="preserve">An </w:t>
      </w:r>
      <w:r w:rsidRPr="00A4284F">
        <w:rPr>
          <w:rStyle w:val="CodeChar"/>
        </w:rPr>
        <w:t xml:space="preserve">If </w:t>
      </w:r>
      <w:r>
        <w:t xml:space="preserve">statement executes a </w:t>
      </w:r>
      <w:r w:rsidR="008546CE">
        <w:t>command</w:t>
      </w:r>
      <w:r>
        <w:t xml:space="preserve"> if a certain condition is met. If the condition is not met, then an alternate </w:t>
      </w:r>
      <w:r w:rsidR="008546CE">
        <w:t>command</w:t>
      </w:r>
      <w:r>
        <w:t xml:space="preserve"> can be run.</w:t>
      </w:r>
    </w:p>
    <w:p w:rsidR="009C3F5C" w:rsidRDefault="009C3F5C" w:rsidP="009C3F5C">
      <w:pPr>
        <w:pStyle w:val="Spacing"/>
      </w:pPr>
    </w:p>
    <w:p w:rsidR="009C3F5C" w:rsidRDefault="009C3F5C" w:rsidP="009C3F5C">
      <w:r>
        <w:t xml:space="preserve">A textual expression of an </w:t>
      </w:r>
      <w:r w:rsidRPr="009C3F5C">
        <w:rPr>
          <w:rStyle w:val="CodeChar"/>
        </w:rPr>
        <w:t xml:space="preserve">If </w:t>
      </w:r>
      <w:r>
        <w:t>statement can look like this:</w:t>
      </w:r>
    </w:p>
    <w:p w:rsidR="009C3F5C" w:rsidRDefault="009C3F5C" w:rsidP="009C3F5C">
      <w:pPr>
        <w:pStyle w:val="Spacing"/>
      </w:pPr>
    </w:p>
    <w:p w:rsidR="009C3F5C" w:rsidRDefault="009C3F5C" w:rsidP="009C3F5C">
      <w:pPr>
        <w:pStyle w:val="Code"/>
        <w:ind w:left="852"/>
      </w:pPr>
      <w:r>
        <w:t xml:space="preserve">If  </w:t>
      </w:r>
      <w:r w:rsidRPr="009C3F5C">
        <w:t>Condition</w:t>
      </w:r>
      <w:r>
        <w:t xml:space="preserve">  Then  </w:t>
      </w:r>
      <w:r w:rsidR="008546CE">
        <w:t>Command</w:t>
      </w:r>
    </w:p>
    <w:p w:rsidR="009C3F5C" w:rsidRDefault="009C3F5C" w:rsidP="00210C19">
      <w:pPr>
        <w:pStyle w:val="Spacing"/>
      </w:pPr>
    </w:p>
    <w:p w:rsidR="00210C19" w:rsidRDefault="00210C19" w:rsidP="00210C19">
      <w:r>
        <w:t>Or:</w:t>
      </w:r>
    </w:p>
    <w:p w:rsidR="00210C19" w:rsidRDefault="00210C19" w:rsidP="00210C19">
      <w:pPr>
        <w:pStyle w:val="Spacing"/>
      </w:pPr>
    </w:p>
    <w:p w:rsidR="00210C19" w:rsidRDefault="00210C19" w:rsidP="00210C19">
      <w:pPr>
        <w:pStyle w:val="Code"/>
        <w:ind w:left="852"/>
      </w:pPr>
      <w:r>
        <w:t xml:space="preserve">If  </w:t>
      </w:r>
      <w:r w:rsidRPr="009C3F5C">
        <w:t>Condition</w:t>
      </w:r>
      <w:r>
        <w:t xml:space="preserve">  Then  </w:t>
      </w:r>
      <w:r w:rsidR="008546CE">
        <w:t>Command</w:t>
      </w:r>
      <w:r>
        <w:t xml:space="preserve"> </w:t>
      </w:r>
      <w:r w:rsidRPr="009C3F5C">
        <w:t>A</w:t>
      </w:r>
      <w:r>
        <w:t xml:space="preserve">  Else  </w:t>
      </w:r>
      <w:r w:rsidR="008546CE">
        <w:t>Command</w:t>
      </w:r>
      <w:r w:rsidRPr="009C3F5C">
        <w:t xml:space="preserve"> B</w:t>
      </w:r>
    </w:p>
    <w:p w:rsidR="00210C19" w:rsidRDefault="00210C19" w:rsidP="00210C19">
      <w:pPr>
        <w:pStyle w:val="Spacing"/>
      </w:pPr>
    </w:p>
    <w:p w:rsidR="009C3F5C" w:rsidRDefault="004A311C" w:rsidP="009C3F5C">
      <w:r>
        <w:t>In a diagram this looks as follows</w:t>
      </w:r>
      <w:r w:rsidR="009C3F5C">
        <w:t>:</w:t>
      </w:r>
    </w:p>
    <w:p w:rsidR="00CA4FB2" w:rsidRDefault="00CA4FB2" w:rsidP="00CA4FB2">
      <w:pPr>
        <w:pStyle w:val="Spacing"/>
      </w:pPr>
    </w:p>
    <w:p w:rsidR="00CA4FB2" w:rsidRDefault="009E30D9" w:rsidP="00CA4FB2">
      <w:pPr>
        <w:ind w:left="852"/>
      </w:pPr>
      <w:r>
        <w:rPr>
          <w:noProof/>
        </w:rPr>
        <w:drawing>
          <wp:inline distT="0" distB="0" distL="0" distR="0">
            <wp:extent cx="1504950" cy="1035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lum bright="-24000"/>
                      <a:extLst>
                        <a:ext uri="{28A0092B-C50C-407E-A947-70E740481C1C}">
                          <a14:useLocalDpi xmlns:a14="http://schemas.microsoft.com/office/drawing/2010/main" val="0"/>
                        </a:ext>
                      </a:extLst>
                    </a:blip>
                    <a:srcRect/>
                    <a:stretch>
                      <a:fillRect/>
                    </a:stretch>
                  </pic:blipFill>
                  <pic:spPr bwMode="auto">
                    <a:xfrm>
                      <a:off x="0" y="0"/>
                      <a:ext cx="1504950" cy="1035685"/>
                    </a:xfrm>
                    <a:prstGeom prst="rect">
                      <a:avLst/>
                    </a:prstGeom>
                    <a:noFill/>
                    <a:ln>
                      <a:noFill/>
                    </a:ln>
                  </pic:spPr>
                </pic:pic>
              </a:graphicData>
            </a:graphic>
          </wp:inline>
        </w:drawing>
      </w:r>
    </w:p>
    <w:p w:rsidR="00BE2A76" w:rsidRDefault="00BE2A76" w:rsidP="00BE2A76">
      <w:pPr>
        <w:pStyle w:val="Spacing"/>
      </w:pPr>
    </w:p>
    <w:p w:rsidR="00CA4FB2" w:rsidRDefault="00CA4FB2" w:rsidP="00CA4FB2">
      <w:r>
        <w:t>Or:</w:t>
      </w:r>
    </w:p>
    <w:p w:rsidR="00CA4FB2" w:rsidRDefault="00CA4FB2" w:rsidP="00CA4FB2">
      <w:pPr>
        <w:pStyle w:val="Spacing"/>
      </w:pPr>
    </w:p>
    <w:p w:rsidR="00CA4FB2" w:rsidRDefault="009E30D9" w:rsidP="00BE2A76">
      <w:pPr>
        <w:ind w:left="852"/>
      </w:pPr>
      <w:r>
        <w:rPr>
          <w:noProof/>
        </w:rPr>
        <w:drawing>
          <wp:inline distT="0" distB="0" distL="0" distR="0">
            <wp:extent cx="1470025" cy="960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lum bright="-24000"/>
                      <a:extLst>
                        <a:ext uri="{28A0092B-C50C-407E-A947-70E740481C1C}">
                          <a14:useLocalDpi xmlns:a14="http://schemas.microsoft.com/office/drawing/2010/main" val="0"/>
                        </a:ext>
                      </a:extLst>
                    </a:blip>
                    <a:srcRect/>
                    <a:stretch>
                      <a:fillRect/>
                    </a:stretch>
                  </pic:blipFill>
                  <pic:spPr bwMode="auto">
                    <a:xfrm>
                      <a:off x="0" y="0"/>
                      <a:ext cx="1470025" cy="960755"/>
                    </a:xfrm>
                    <a:prstGeom prst="rect">
                      <a:avLst/>
                    </a:prstGeom>
                    <a:noFill/>
                    <a:ln>
                      <a:noFill/>
                    </a:ln>
                  </pic:spPr>
                </pic:pic>
              </a:graphicData>
            </a:graphic>
          </wp:inline>
        </w:drawing>
      </w:r>
    </w:p>
    <w:p w:rsidR="009C3F5C" w:rsidRDefault="009C3F5C" w:rsidP="00BE2A76">
      <w:pPr>
        <w:pStyle w:val="Spacing"/>
      </w:pPr>
    </w:p>
    <w:p w:rsidR="00242838" w:rsidRDefault="004A311C" w:rsidP="009C3F5C">
      <w:r>
        <w:t xml:space="preserve">The circle is the condition. The word </w:t>
      </w:r>
      <w:r w:rsidRPr="00CB2DF8">
        <w:rPr>
          <w:i/>
        </w:rPr>
        <w:t xml:space="preserve">condition </w:t>
      </w:r>
      <w:r>
        <w:t xml:space="preserve">does not have to be shown in the diagram. </w:t>
      </w:r>
      <w:r w:rsidR="009C3F5C">
        <w:t xml:space="preserve">The </w:t>
      </w:r>
      <w:r w:rsidR="009C3F5C" w:rsidRPr="009C3F5C">
        <w:rPr>
          <w:rStyle w:val="CodeChar"/>
        </w:rPr>
        <w:t>Then</w:t>
      </w:r>
      <w:r w:rsidR="009C3F5C">
        <w:t xml:space="preserve"> and the </w:t>
      </w:r>
      <w:r w:rsidR="009C3F5C" w:rsidRPr="009C3F5C">
        <w:rPr>
          <w:rStyle w:val="CodeChar"/>
        </w:rPr>
        <w:t>Else</w:t>
      </w:r>
      <w:r w:rsidR="009C3F5C">
        <w:t xml:space="preserve"> are </w:t>
      </w:r>
      <w:r>
        <w:t xml:space="preserve">two </w:t>
      </w:r>
      <w:r w:rsidR="008546CE">
        <w:t>command</w:t>
      </w:r>
      <w:r w:rsidR="009C3F5C">
        <w:t xml:space="preserve"> references, </w:t>
      </w:r>
      <w:r>
        <w:t xml:space="preserve">that are </w:t>
      </w:r>
      <w:r w:rsidR="009C3F5C">
        <w:t xml:space="preserve">passed to the </w:t>
      </w:r>
      <w:r w:rsidR="009C3F5C" w:rsidRPr="009C3F5C">
        <w:rPr>
          <w:rStyle w:val="CodeChar"/>
        </w:rPr>
        <w:t>If</w:t>
      </w:r>
      <w:r w:rsidR="009C3F5C">
        <w:t xml:space="preserve"> command.</w:t>
      </w:r>
    </w:p>
    <w:p w:rsidR="00242838" w:rsidRDefault="00242838" w:rsidP="00242838">
      <w:pPr>
        <w:pStyle w:val="Spacing"/>
      </w:pPr>
    </w:p>
    <w:p w:rsidR="00BE2A76" w:rsidRDefault="00BE2A76" w:rsidP="009C3F5C">
      <w:r>
        <w:t xml:space="preserve">The </w:t>
      </w:r>
      <w:r w:rsidRPr="00BE2A76">
        <w:rPr>
          <w:rStyle w:val="CodeChar"/>
        </w:rPr>
        <w:t>If</w:t>
      </w:r>
      <w:r>
        <w:t xml:space="preserve"> statement is </w:t>
      </w:r>
      <w:r w:rsidR="00CA4FB2">
        <w:t xml:space="preserve">drawn out like </w:t>
      </w:r>
      <w:r w:rsidR="00242838">
        <w:t xml:space="preserve">a diamond shape. A diamond shape stands for a </w:t>
      </w:r>
      <w:r w:rsidR="00242838" w:rsidRPr="00CA4FB2">
        <w:rPr>
          <w:i/>
        </w:rPr>
        <w:t>call</w:t>
      </w:r>
      <w:r w:rsidR="00242838">
        <w:t xml:space="preserve">. It is a </w:t>
      </w:r>
      <w:r w:rsidR="00242838" w:rsidRPr="004A311C">
        <w:rPr>
          <w:i/>
        </w:rPr>
        <w:t>call</w:t>
      </w:r>
      <w:r w:rsidR="00242838">
        <w:t xml:space="preserve"> to an execution control command. </w:t>
      </w:r>
      <w:r>
        <w:t xml:space="preserve">The definition of the execution control commands is part of a system module </w:t>
      </w:r>
      <w:r w:rsidR="00CA4FB2">
        <w:t xml:space="preserve">of execution control </w:t>
      </w:r>
      <w:r w:rsidR="008546CE">
        <w:t>command</w:t>
      </w:r>
      <w:r w:rsidR="00CA4FB2">
        <w:t xml:space="preserve">s. </w:t>
      </w:r>
      <w:r w:rsidR="00C25545">
        <w:t>It</w:t>
      </w:r>
      <w:r w:rsidR="009D0FF3">
        <w:t xml:space="preserve"> look</w:t>
      </w:r>
      <w:r w:rsidR="00C25545">
        <w:t>s</w:t>
      </w:r>
      <w:r w:rsidR="00CA4FB2">
        <w:t xml:space="preserve"> like this:</w:t>
      </w:r>
    </w:p>
    <w:p w:rsidR="007C6130" w:rsidRDefault="007C6130" w:rsidP="007C6130">
      <w:pPr>
        <w:pStyle w:val="Spacing"/>
      </w:pPr>
    </w:p>
    <w:p w:rsidR="00CA4FB2" w:rsidRDefault="009E30D9" w:rsidP="007C6130">
      <w:pPr>
        <w:ind w:left="852"/>
      </w:pPr>
      <w:r>
        <w:rPr>
          <w:noProof/>
        </w:rPr>
        <w:drawing>
          <wp:inline distT="0" distB="0" distL="0" distR="0">
            <wp:extent cx="977900" cy="1290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lum bright="-24000"/>
                      <a:extLst>
                        <a:ext uri="{28A0092B-C50C-407E-A947-70E740481C1C}">
                          <a14:useLocalDpi xmlns:a14="http://schemas.microsoft.com/office/drawing/2010/main" val="0"/>
                        </a:ext>
                      </a:extLst>
                    </a:blip>
                    <a:srcRect/>
                    <a:stretch>
                      <a:fillRect/>
                    </a:stretch>
                  </pic:blipFill>
                  <pic:spPr bwMode="auto">
                    <a:xfrm>
                      <a:off x="0" y="0"/>
                      <a:ext cx="977900" cy="1290320"/>
                    </a:xfrm>
                    <a:prstGeom prst="rect">
                      <a:avLst/>
                    </a:prstGeom>
                    <a:noFill/>
                    <a:ln>
                      <a:noFill/>
                    </a:ln>
                  </pic:spPr>
                </pic:pic>
              </a:graphicData>
            </a:graphic>
          </wp:inline>
        </w:drawing>
      </w:r>
    </w:p>
    <w:p w:rsidR="00BE2A76" w:rsidRDefault="00BE2A76" w:rsidP="007C6130">
      <w:pPr>
        <w:pStyle w:val="Spacing"/>
      </w:pPr>
    </w:p>
    <w:p w:rsidR="007C6130" w:rsidRDefault="000200C5" w:rsidP="007C6130">
      <w:r>
        <w:t xml:space="preserve">The definitions of the execution control commands are squares. </w:t>
      </w:r>
      <w:r w:rsidR="007C6130">
        <w:t xml:space="preserve">But </w:t>
      </w:r>
      <w:r w:rsidR="004A311C">
        <w:t xml:space="preserve">usually </w:t>
      </w:r>
      <w:r w:rsidR="007C6130">
        <w:t xml:space="preserve">you only </w:t>
      </w:r>
      <w:r w:rsidR="00CA4FB2">
        <w:t xml:space="preserve">see </w:t>
      </w:r>
      <w:r w:rsidR="007C6130" w:rsidRPr="00CA4FB2">
        <w:rPr>
          <w:i/>
        </w:rPr>
        <w:t xml:space="preserve">calls </w:t>
      </w:r>
      <w:r w:rsidR="007C6130">
        <w:t>to</w:t>
      </w:r>
      <w:r w:rsidR="00CA4FB2">
        <w:t xml:space="preserve"> execution control commands</w:t>
      </w:r>
      <w:r w:rsidR="004A311C">
        <w:t>,</w:t>
      </w:r>
      <w:r w:rsidR="00CA4FB2">
        <w:t xml:space="preserve"> with </w:t>
      </w:r>
      <w:r w:rsidR="007C6130">
        <w:t>a diamond shape.</w:t>
      </w:r>
    </w:p>
    <w:p w:rsidR="007C6130" w:rsidRDefault="007C6130" w:rsidP="007C6130">
      <w:pPr>
        <w:pStyle w:val="Spacing"/>
      </w:pPr>
    </w:p>
    <w:p w:rsidR="00BE2A76" w:rsidRDefault="00CA4FB2" w:rsidP="009C3F5C">
      <w:r>
        <w:t xml:space="preserve">The </w:t>
      </w:r>
      <w:r w:rsidR="00C25545" w:rsidRPr="00C25545">
        <w:rPr>
          <w:rStyle w:val="CodeChar"/>
        </w:rPr>
        <w:t>C</w:t>
      </w:r>
      <w:r w:rsidRPr="00C25545">
        <w:rPr>
          <w:rStyle w:val="CodeChar"/>
        </w:rPr>
        <w:t>ondition</w:t>
      </w:r>
      <w:r w:rsidR="00BE2A76" w:rsidRPr="00C25545">
        <w:rPr>
          <w:rStyle w:val="CodeChar"/>
        </w:rPr>
        <w:t xml:space="preserve"> </w:t>
      </w:r>
      <w:r w:rsidR="00BE2A76">
        <w:t xml:space="preserve">and the </w:t>
      </w:r>
      <w:r w:rsidRPr="00CA4FB2">
        <w:rPr>
          <w:rStyle w:val="CodeChar"/>
        </w:rPr>
        <w:t xml:space="preserve">Then </w:t>
      </w:r>
      <w:r>
        <w:t xml:space="preserve">and </w:t>
      </w:r>
      <w:r w:rsidRPr="00CA4FB2">
        <w:rPr>
          <w:rStyle w:val="CodeChar"/>
        </w:rPr>
        <w:t xml:space="preserve">Else </w:t>
      </w:r>
      <w:r w:rsidR="008546CE">
        <w:t>command</w:t>
      </w:r>
      <w:r w:rsidR="00BE2A76">
        <w:t xml:space="preserve">s </w:t>
      </w:r>
      <w:r>
        <w:t xml:space="preserve">are </w:t>
      </w:r>
      <w:r w:rsidR="007C6130">
        <w:t xml:space="preserve">shown right inside the call. </w:t>
      </w:r>
      <w:r>
        <w:t>But y</w:t>
      </w:r>
      <w:r w:rsidR="007C6130">
        <w:t xml:space="preserve">ou are likely to want to see the </w:t>
      </w:r>
      <w:r w:rsidR="007C6130" w:rsidRPr="007C6130">
        <w:rPr>
          <w:rStyle w:val="CodeChar"/>
        </w:rPr>
        <w:t xml:space="preserve">Then </w:t>
      </w:r>
      <w:r w:rsidR="007C6130">
        <w:t xml:space="preserve">and </w:t>
      </w:r>
      <w:r w:rsidR="007C6130" w:rsidRPr="007C6130">
        <w:rPr>
          <w:rStyle w:val="CodeChar"/>
        </w:rPr>
        <w:t xml:space="preserve">Else </w:t>
      </w:r>
      <w:r w:rsidR="008546CE">
        <w:t>command</w:t>
      </w:r>
      <w:r w:rsidR="007C6130">
        <w:t xml:space="preserve">s </w:t>
      </w:r>
      <w:r w:rsidR="004A311C">
        <w:t xml:space="preserve">defined </w:t>
      </w:r>
      <w:r w:rsidR="007C6130" w:rsidRPr="00A4284F">
        <w:rPr>
          <w:i/>
        </w:rPr>
        <w:t xml:space="preserve">outside </w:t>
      </w:r>
      <w:r w:rsidR="007C6130">
        <w:t xml:space="preserve">the </w:t>
      </w:r>
      <w:r w:rsidR="007C6130" w:rsidRPr="007C6130">
        <w:rPr>
          <w:rStyle w:val="CodeChar"/>
        </w:rPr>
        <w:t>If</w:t>
      </w:r>
      <w:r w:rsidR="004A311C">
        <w:t xml:space="preserve"> call.</w:t>
      </w:r>
    </w:p>
    <w:p w:rsidR="00AF3345" w:rsidRDefault="00AF3345" w:rsidP="00AF3345">
      <w:pPr>
        <w:pStyle w:val="Spacing"/>
      </w:pPr>
    </w:p>
    <w:tbl>
      <w:tblPr>
        <w:tblW w:w="0" w:type="auto"/>
        <w:tblInd w:w="744" w:type="dxa"/>
        <w:tblLook w:val="00BF" w:firstRow="1" w:lastRow="0" w:firstColumn="1" w:lastColumn="0" w:noHBand="0" w:noVBand="0"/>
      </w:tblPr>
      <w:tblGrid>
        <w:gridCol w:w="2533"/>
        <w:gridCol w:w="2696"/>
      </w:tblGrid>
      <w:tr w:rsidR="00AF3345" w:rsidTr="00E71963">
        <w:tc>
          <w:tcPr>
            <w:tcW w:w="2533" w:type="dxa"/>
            <w:shd w:val="clear" w:color="auto" w:fill="auto"/>
            <w:vAlign w:val="center"/>
          </w:tcPr>
          <w:p w:rsidR="00AF3345" w:rsidRDefault="009E30D9" w:rsidP="00E71963">
            <w:pPr>
              <w:ind w:left="0"/>
              <w:jc w:val="center"/>
            </w:pPr>
            <w:r>
              <w:rPr>
                <w:noProof/>
              </w:rPr>
              <w:drawing>
                <wp:inline distT="0" distB="0" distL="0" distR="0">
                  <wp:extent cx="1470025" cy="16490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lum bright="-24000"/>
                            <a:extLst>
                              <a:ext uri="{28A0092B-C50C-407E-A947-70E740481C1C}">
                                <a14:useLocalDpi xmlns:a14="http://schemas.microsoft.com/office/drawing/2010/main" val="0"/>
                              </a:ext>
                            </a:extLst>
                          </a:blip>
                          <a:srcRect/>
                          <a:stretch>
                            <a:fillRect/>
                          </a:stretch>
                        </pic:blipFill>
                        <pic:spPr bwMode="auto">
                          <a:xfrm>
                            <a:off x="0" y="0"/>
                            <a:ext cx="1470025" cy="1649095"/>
                          </a:xfrm>
                          <a:prstGeom prst="rect">
                            <a:avLst/>
                          </a:prstGeom>
                          <a:noFill/>
                          <a:ln>
                            <a:noFill/>
                          </a:ln>
                        </pic:spPr>
                      </pic:pic>
                    </a:graphicData>
                  </a:graphic>
                </wp:inline>
              </w:drawing>
            </w:r>
          </w:p>
        </w:tc>
        <w:tc>
          <w:tcPr>
            <w:tcW w:w="2696" w:type="dxa"/>
            <w:shd w:val="clear" w:color="auto" w:fill="auto"/>
            <w:vAlign w:val="center"/>
          </w:tcPr>
          <w:p w:rsidR="00AF3345" w:rsidRDefault="009E30D9" w:rsidP="00E71963">
            <w:pPr>
              <w:ind w:left="0"/>
              <w:jc w:val="center"/>
            </w:pPr>
            <w:r>
              <w:rPr>
                <w:noProof/>
              </w:rPr>
              <w:drawing>
                <wp:inline distT="0" distB="0" distL="0" distR="0">
                  <wp:extent cx="1574165" cy="1689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bright="-24000"/>
                            <a:extLst>
                              <a:ext uri="{28A0092B-C50C-407E-A947-70E740481C1C}">
                                <a14:useLocalDpi xmlns:a14="http://schemas.microsoft.com/office/drawing/2010/main" val="0"/>
                              </a:ext>
                            </a:extLst>
                          </a:blip>
                          <a:srcRect/>
                          <a:stretch>
                            <a:fillRect/>
                          </a:stretch>
                        </pic:blipFill>
                        <pic:spPr bwMode="auto">
                          <a:xfrm>
                            <a:off x="0" y="0"/>
                            <a:ext cx="1574165" cy="1689735"/>
                          </a:xfrm>
                          <a:prstGeom prst="rect">
                            <a:avLst/>
                          </a:prstGeom>
                          <a:noFill/>
                          <a:ln>
                            <a:noFill/>
                          </a:ln>
                        </pic:spPr>
                      </pic:pic>
                    </a:graphicData>
                  </a:graphic>
                </wp:inline>
              </w:drawing>
            </w:r>
          </w:p>
        </w:tc>
      </w:tr>
    </w:tbl>
    <w:p w:rsidR="00AF3345" w:rsidRDefault="00AF3345" w:rsidP="00CB2DF8">
      <w:pPr>
        <w:pStyle w:val="Spacing"/>
      </w:pPr>
    </w:p>
    <w:p w:rsidR="00944376" w:rsidRDefault="007C6130" w:rsidP="009C3F5C">
      <w:r>
        <w:t xml:space="preserve">You can do this by defining references to the clauses </w:t>
      </w:r>
      <w:r w:rsidR="004A311C">
        <w:t xml:space="preserve">on </w:t>
      </w:r>
      <w:r>
        <w:t xml:space="preserve">a </w:t>
      </w:r>
      <w:r w:rsidR="004A311C">
        <w:t>higher level</w:t>
      </w:r>
      <w:r>
        <w:t xml:space="preserve">. </w:t>
      </w:r>
      <w:r w:rsidR="00944376">
        <w:t xml:space="preserve">This will automatically connect the clauses inside the </w:t>
      </w:r>
      <w:r w:rsidR="00944376" w:rsidRPr="00CB2DF8">
        <w:rPr>
          <w:rStyle w:val="CodeChar"/>
        </w:rPr>
        <w:t xml:space="preserve">If </w:t>
      </w:r>
      <w:r w:rsidR="00944376">
        <w:t xml:space="preserve">symbol to the clauses outside the </w:t>
      </w:r>
      <w:r w:rsidR="00944376" w:rsidRPr="00CB2DF8">
        <w:rPr>
          <w:rStyle w:val="CodeChar"/>
        </w:rPr>
        <w:t xml:space="preserve">If </w:t>
      </w:r>
      <w:r w:rsidR="00944376">
        <w:t xml:space="preserve">symbol. </w:t>
      </w:r>
      <w:r w:rsidR="00226AED">
        <w:t>A clause</w:t>
      </w:r>
      <w:r w:rsidR="00944376">
        <w:t xml:space="preserve"> inside the </w:t>
      </w:r>
      <w:r w:rsidR="00944376" w:rsidRPr="00CB2DF8">
        <w:rPr>
          <w:rStyle w:val="CodeChar"/>
        </w:rPr>
        <w:t xml:space="preserve">If </w:t>
      </w:r>
      <w:r w:rsidR="00944376">
        <w:t xml:space="preserve">symbol and </w:t>
      </w:r>
      <w:r w:rsidR="00226AED">
        <w:t>a clause</w:t>
      </w:r>
      <w:r w:rsidR="00944376">
        <w:t xml:space="preserve"> outside the </w:t>
      </w:r>
      <w:r w:rsidR="00944376" w:rsidRPr="00CB2DF8">
        <w:rPr>
          <w:rStyle w:val="CodeChar"/>
        </w:rPr>
        <w:t xml:space="preserve">If </w:t>
      </w:r>
      <w:r w:rsidR="00944376">
        <w:t xml:space="preserve">symbol are actually </w:t>
      </w:r>
      <w:r w:rsidR="00CB2DF8">
        <w:t xml:space="preserve">both </w:t>
      </w:r>
      <w:r>
        <w:t>no more than reference</w:t>
      </w:r>
      <w:r w:rsidR="00226AED">
        <w:t xml:space="preserve">s the same clause. So this will create references to the same clause on multiple levels. Following the rules of automatic containment, references to the same thing are tied together with lines. </w:t>
      </w:r>
      <w:r w:rsidR="004A311C">
        <w:t>The</w:t>
      </w:r>
      <w:r w:rsidR="00226AED">
        <w:t xml:space="preserve"> symbol on the highest containment level represents the command itself. </w:t>
      </w:r>
      <w:r w:rsidR="00944376">
        <w:t>Putting a reference an a higher level for the sole purpose of elevating the definition of something</w:t>
      </w:r>
      <w:r w:rsidR="00C25545">
        <w:t>,</w:t>
      </w:r>
      <w:r w:rsidR="00944376">
        <w:t xml:space="preserve"> up to a level it is not required to be defined</w:t>
      </w:r>
      <w:r w:rsidR="00226AED">
        <w:t xml:space="preserve"> in</w:t>
      </w:r>
      <w:r w:rsidR="00944376">
        <w:t xml:space="preserve">, is called an </w:t>
      </w:r>
      <w:r w:rsidR="00944376" w:rsidRPr="00944376">
        <w:rPr>
          <w:i/>
        </w:rPr>
        <w:t>est</w:t>
      </w:r>
      <w:r w:rsidR="00BE77D5">
        <w:rPr>
          <w:i/>
        </w:rPr>
        <w:t>he</w:t>
      </w:r>
      <w:r w:rsidR="00944376" w:rsidRPr="00944376">
        <w:rPr>
          <w:i/>
        </w:rPr>
        <w:t>tic reference</w:t>
      </w:r>
      <w:r w:rsidR="00944376">
        <w:t>.</w:t>
      </w:r>
    </w:p>
    <w:p w:rsidR="007C6130" w:rsidRDefault="007C6130" w:rsidP="009C3F5C">
      <w:r>
        <w:t xml:space="preserve">See the articles </w:t>
      </w:r>
      <w:r w:rsidRPr="007C6130">
        <w:rPr>
          <w:i/>
        </w:rPr>
        <w:t>Est</w:t>
      </w:r>
      <w:r w:rsidR="00610513">
        <w:rPr>
          <w:i/>
        </w:rPr>
        <w:t>h</w:t>
      </w:r>
      <w:r w:rsidRPr="007C6130">
        <w:rPr>
          <w:i/>
        </w:rPr>
        <w:t>etic Reference</w:t>
      </w:r>
      <w:r>
        <w:t xml:space="preserve"> and </w:t>
      </w:r>
      <w:r w:rsidRPr="007C6130">
        <w:rPr>
          <w:i/>
        </w:rPr>
        <w:t>Automatic Containment</w:t>
      </w:r>
      <w:r w:rsidR="00CB2DF8" w:rsidRPr="00CB2DF8">
        <w:t xml:space="preserve"> for more about those subjects</w:t>
      </w:r>
      <w:r w:rsidRPr="00CB2DF8">
        <w:t>.</w:t>
      </w:r>
    </w:p>
    <w:p w:rsidR="00242838" w:rsidRDefault="00242838" w:rsidP="00242838">
      <w:pPr>
        <w:pStyle w:val="Spacing"/>
      </w:pPr>
    </w:p>
    <w:p w:rsidR="00954D31" w:rsidRPr="003271FC" w:rsidRDefault="00242838" w:rsidP="000D7022">
      <w:r>
        <w:t xml:space="preserve">It is a coincidence, that a diamond was already used, to express a </w:t>
      </w:r>
      <w:r w:rsidRPr="00242838">
        <w:rPr>
          <w:i/>
        </w:rPr>
        <w:t xml:space="preserve">decision </w:t>
      </w:r>
      <w:r>
        <w:t xml:space="preserve">in many </w:t>
      </w:r>
      <w:r w:rsidR="00C25545">
        <w:t>types of control-flow diagram</w:t>
      </w:r>
      <w:r>
        <w:t xml:space="preserve">, that already existed before this new computer language. It turns out, that using the existing syntax for calling </w:t>
      </w:r>
      <w:r w:rsidR="008546CE">
        <w:t>command</w:t>
      </w:r>
      <w:r>
        <w:t xml:space="preserve">s, passing along </w:t>
      </w:r>
      <w:r w:rsidR="001071D8">
        <w:t>command</w:t>
      </w:r>
      <w:r>
        <w:t xml:space="preserve"> references as parameters, works perfectly for a clear way to express execution control.</w:t>
      </w:r>
    </w:p>
    <w:sectPr w:rsidR="00954D31" w:rsidRPr="003271F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200C5"/>
    <w:rsid w:val="00031913"/>
    <w:rsid w:val="00053E87"/>
    <w:rsid w:val="00064403"/>
    <w:rsid w:val="000C7D9D"/>
    <w:rsid w:val="000D7022"/>
    <w:rsid w:val="000F652F"/>
    <w:rsid w:val="001071D8"/>
    <w:rsid w:val="00175EE4"/>
    <w:rsid w:val="00177197"/>
    <w:rsid w:val="001B7346"/>
    <w:rsid w:val="001E7249"/>
    <w:rsid w:val="00210C19"/>
    <w:rsid w:val="00226AED"/>
    <w:rsid w:val="00242838"/>
    <w:rsid w:val="0027394B"/>
    <w:rsid w:val="00291C98"/>
    <w:rsid w:val="002C166C"/>
    <w:rsid w:val="00311845"/>
    <w:rsid w:val="0032466D"/>
    <w:rsid w:val="003271FC"/>
    <w:rsid w:val="0041620C"/>
    <w:rsid w:val="004348B0"/>
    <w:rsid w:val="004A311C"/>
    <w:rsid w:val="004D4169"/>
    <w:rsid w:val="00532D2F"/>
    <w:rsid w:val="00571582"/>
    <w:rsid w:val="00574711"/>
    <w:rsid w:val="005840D1"/>
    <w:rsid w:val="005A1878"/>
    <w:rsid w:val="00610513"/>
    <w:rsid w:val="006876A4"/>
    <w:rsid w:val="006B64D3"/>
    <w:rsid w:val="006F2631"/>
    <w:rsid w:val="007442B6"/>
    <w:rsid w:val="007C6130"/>
    <w:rsid w:val="007E7FC4"/>
    <w:rsid w:val="00840264"/>
    <w:rsid w:val="00846B80"/>
    <w:rsid w:val="008546CE"/>
    <w:rsid w:val="008C6D6B"/>
    <w:rsid w:val="008F228C"/>
    <w:rsid w:val="00901E6E"/>
    <w:rsid w:val="00916207"/>
    <w:rsid w:val="00916A8F"/>
    <w:rsid w:val="00944376"/>
    <w:rsid w:val="00954D31"/>
    <w:rsid w:val="009A1E2B"/>
    <w:rsid w:val="009C3F5C"/>
    <w:rsid w:val="009C617F"/>
    <w:rsid w:val="009D0FF3"/>
    <w:rsid w:val="009E30D9"/>
    <w:rsid w:val="009F2C47"/>
    <w:rsid w:val="00A37A6A"/>
    <w:rsid w:val="00A4284F"/>
    <w:rsid w:val="00A52B4E"/>
    <w:rsid w:val="00A531F0"/>
    <w:rsid w:val="00AA0A55"/>
    <w:rsid w:val="00AC64AE"/>
    <w:rsid w:val="00AD0AD9"/>
    <w:rsid w:val="00AF3345"/>
    <w:rsid w:val="00B25223"/>
    <w:rsid w:val="00B27493"/>
    <w:rsid w:val="00B633F4"/>
    <w:rsid w:val="00B741DA"/>
    <w:rsid w:val="00BE2A76"/>
    <w:rsid w:val="00BE77D5"/>
    <w:rsid w:val="00BF0D7A"/>
    <w:rsid w:val="00C057FC"/>
    <w:rsid w:val="00C232AA"/>
    <w:rsid w:val="00C25545"/>
    <w:rsid w:val="00C82778"/>
    <w:rsid w:val="00CA4FB2"/>
    <w:rsid w:val="00CB2DF8"/>
    <w:rsid w:val="00D06B66"/>
    <w:rsid w:val="00DC1C56"/>
    <w:rsid w:val="00DE4DA1"/>
    <w:rsid w:val="00DF5BE0"/>
    <w:rsid w:val="00E528EE"/>
    <w:rsid w:val="00E71963"/>
    <w:rsid w:val="00E8670E"/>
    <w:rsid w:val="00EF2C1B"/>
    <w:rsid w:val="00F02CB5"/>
    <w:rsid w:val="00F7010E"/>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4438CFA-8C22-482B-B118-1A17F76FE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449</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cp:lastPrinted>1601-01-01T00:00:00Z</cp:lastPrinted>
  <dcterms:created xsi:type="dcterms:W3CDTF">2020-05-20T19:05:00Z</dcterms:created>
  <dcterms:modified xsi:type="dcterms:W3CDTF">2020-05-20T19:05:00Z</dcterms:modified>
</cp:coreProperties>
</file>