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B7D36" w:rsidTr="00DA36B4">
        <w:tc>
          <w:tcPr>
            <w:tcW w:w="5000" w:type="pct"/>
            <w:shd w:val="clear" w:color="auto" w:fill="3366FF"/>
          </w:tcPr>
          <w:p w:rsidR="003271FC" w:rsidRPr="008C33D2" w:rsidRDefault="00DA36B4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9005D8" w:rsidP="003271FC">
      <w:pPr>
        <w:pStyle w:val="Heading2"/>
      </w:pPr>
      <w:r>
        <w:t>Select Case (split formula) in a Diagram</w:t>
      </w:r>
    </w:p>
    <w:p w:rsidR="001F1952" w:rsidRDefault="001F1952" w:rsidP="001F1952">
      <w:r>
        <w:t xml:space="preserve">The concept of the </w:t>
      </w:r>
      <w:r>
        <w:rPr>
          <w:rStyle w:val="CodeChar"/>
        </w:rPr>
        <w:t>Select Case</w:t>
      </w:r>
      <w:r w:rsidRPr="00C53AB4">
        <w:t xml:space="preserve"> (</w:t>
      </w:r>
      <w:r>
        <w:t>split formula</w:t>
      </w:r>
      <w:r w:rsidRPr="00C53AB4">
        <w:t>)</w:t>
      </w:r>
      <w:r>
        <w:t xml:space="preserve"> statement is already covered </w:t>
      </w:r>
      <w:r w:rsidR="00754C80">
        <w:t>by</w:t>
      </w:r>
      <w:r>
        <w:t xml:space="preserve"> the article </w:t>
      </w:r>
      <w:r>
        <w:rPr>
          <w:i/>
        </w:rPr>
        <w:t>Select Case (split formula)</w:t>
      </w:r>
      <w:r>
        <w:t>. This article only explains its expression in a diagram.</w:t>
      </w:r>
    </w:p>
    <w:p w:rsidR="00C50571" w:rsidRDefault="00C50571" w:rsidP="00C50571">
      <w:pPr>
        <w:pStyle w:val="Spacing"/>
      </w:pPr>
    </w:p>
    <w:p w:rsidR="00C50571" w:rsidRDefault="00C50571" w:rsidP="00C50571">
      <w:r>
        <w:t>There are two forms of this statement: the first half of the form</w:t>
      </w:r>
      <w:r w:rsidR="00BA4400">
        <w:t>ula is a value or the first half</w:t>
      </w:r>
      <w:r>
        <w:t xml:space="preserve"> of the formula is an operation with an operand missing.</w:t>
      </w:r>
      <w:r w:rsidR="00BA4400">
        <w:t xml:space="preserve"> These two forms have a different definition and look different in the diagram</w:t>
      </w:r>
    </w:p>
    <w:p w:rsidR="00C50571" w:rsidRDefault="00C50571" w:rsidP="00C50571">
      <w:pPr>
        <w:pStyle w:val="Spacing"/>
      </w:pPr>
    </w:p>
    <w:p w:rsidR="00C50571" w:rsidRDefault="00C50571" w:rsidP="00C50571">
      <w:r>
        <w:t xml:space="preserve">Below is an example of the diagrammatic expression of a </w:t>
      </w:r>
      <w:r w:rsidRPr="00326B2D">
        <w:rPr>
          <w:rStyle w:val="CodeChar"/>
        </w:rPr>
        <w:t>Select Case</w:t>
      </w:r>
      <w:r>
        <w:t xml:space="preserve"> statement for split formulas, of which the first half of the formula is a value.</w:t>
      </w:r>
    </w:p>
    <w:p w:rsidR="009005D8" w:rsidRDefault="009005D8" w:rsidP="00C50571">
      <w:pPr>
        <w:pStyle w:val="Spacing"/>
      </w:pPr>
    </w:p>
    <w:p w:rsidR="009005D8" w:rsidRDefault="00740C96" w:rsidP="00C50571">
      <w:pPr>
        <w:ind w:left="852"/>
      </w:pPr>
      <w:r>
        <w:rPr>
          <w:noProof/>
        </w:rPr>
        <w:drawing>
          <wp:inline distT="0" distB="0" distL="0" distR="0">
            <wp:extent cx="283591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C50571">
      <w:pPr>
        <w:pStyle w:val="Spacing"/>
      </w:pPr>
    </w:p>
    <w:p w:rsidR="00DC4E66" w:rsidRDefault="00C50571" w:rsidP="00C50571">
      <w:r>
        <w:t xml:space="preserve">The diamond is a call to the </w:t>
      </w:r>
      <w:r w:rsidRPr="007751DE">
        <w:rPr>
          <w:rStyle w:val="CodeChar"/>
        </w:rPr>
        <w:t xml:space="preserve">Select Case </w:t>
      </w:r>
      <w:r>
        <w:t xml:space="preserve">command. The circle inside the diamond has the title </w:t>
      </w:r>
      <w:r w:rsidRPr="007751DE">
        <w:rPr>
          <w:rStyle w:val="CodeChar"/>
        </w:rPr>
        <w:t>Select</w:t>
      </w:r>
      <w:r w:rsidRPr="007751DE">
        <w:t>.</w:t>
      </w:r>
      <w:r>
        <w:t xml:space="preserve"> It points to an object outside the command call. This </w:t>
      </w:r>
      <w:r w:rsidR="00BA4400">
        <w:t xml:space="preserve">is called the variable. It is </w:t>
      </w:r>
      <w:r>
        <w:t xml:space="preserve">the </w:t>
      </w:r>
      <w:r w:rsidR="00BA4400">
        <w:t xml:space="preserve">value, that will be filled into the missing operands of the other halves of the formula. </w:t>
      </w:r>
      <w:r>
        <w:t xml:space="preserve">In the middle of the diamond there is a nonagon, that represents the cases: </w:t>
      </w:r>
      <w:r w:rsidR="00BA4400">
        <w:t>different operations into which the variable will be filled in.</w:t>
      </w:r>
      <w:r>
        <w:t xml:space="preserve"> The nonagon can contain any number of cases. Each circle inside a nonagon is a </w:t>
      </w:r>
      <w:r w:rsidRPr="007751DE">
        <w:rPr>
          <w:rStyle w:val="CodeChar"/>
        </w:rPr>
        <w:t>Case</w:t>
      </w:r>
      <w:r w:rsidR="00BA4400">
        <w:t xml:space="preserve">. Each case defines a command for which the variable is filled in. Each case also defines the command to call when the result of the formula is </w:t>
      </w:r>
      <w:r w:rsidR="00BA4400" w:rsidRPr="00BA4400">
        <w:rPr>
          <w:rStyle w:val="CodeChar"/>
        </w:rPr>
        <w:t>True</w:t>
      </w:r>
      <w:r>
        <w:t xml:space="preserve">. In this example, there are two </w:t>
      </w:r>
      <w:r w:rsidRPr="007751DE">
        <w:rPr>
          <w:rStyle w:val="CodeChar"/>
        </w:rPr>
        <w:t>Cases</w:t>
      </w:r>
      <w:r>
        <w:t xml:space="preserve">. </w:t>
      </w:r>
      <w:r w:rsidR="00DC4E66">
        <w:t xml:space="preserve">The other halves of the formula are not </w:t>
      </w:r>
      <w:r w:rsidR="00CC0B47">
        <w:t>drawn</w:t>
      </w:r>
      <w:r w:rsidR="00DC4E66">
        <w:t xml:space="preserve"> out in full detail. That would obscure the picture</w:t>
      </w:r>
      <w:r w:rsidR="00C344D4">
        <w:t xml:space="preserve"> in this demostration. The literals of the half </w:t>
      </w:r>
      <w:r w:rsidR="00DC4E66">
        <w:t>formulas are shown. The command definitions of the half formulas are not pointed out, and the build-up of the formula’s is not fully graphically drawn out with objects connected with operations, because that would obscure the picture</w:t>
      </w:r>
      <w:r w:rsidR="00C344D4">
        <w:t xml:space="preserve"> of this demonstration</w:t>
      </w:r>
      <w:r w:rsidR="00DC4E66">
        <w:t>, but they do belong in the diagram, though.</w:t>
      </w:r>
    </w:p>
    <w:p w:rsidR="00DC4E66" w:rsidRDefault="00C50571" w:rsidP="00C50571">
      <w:r>
        <w:t xml:space="preserve">One </w:t>
      </w:r>
      <w:r w:rsidRPr="007751DE">
        <w:rPr>
          <w:rStyle w:val="CodeChar"/>
        </w:rPr>
        <w:t xml:space="preserve">Case </w:t>
      </w:r>
      <w:r w:rsidR="00DC4E66" w:rsidRPr="00DC4E66">
        <w:t xml:space="preserve">is the </w:t>
      </w:r>
      <w:r w:rsidR="00DC4E66">
        <w:t xml:space="preserve">half formula </w:t>
      </w:r>
      <w:r w:rsidR="00DC4E66" w:rsidRPr="00DC4E66">
        <w:rPr>
          <w:rStyle w:val="CodeChar"/>
        </w:rPr>
        <w:t>&gt;</w:t>
      </w:r>
      <w:r w:rsidR="00DC4E66">
        <w:rPr>
          <w:rStyle w:val="CodeChar"/>
        </w:rPr>
        <w:t> </w:t>
      </w:r>
      <w:r w:rsidR="00DC4E66" w:rsidRPr="00DC4E66">
        <w:rPr>
          <w:rStyle w:val="CodeChar"/>
        </w:rPr>
        <w:t>2</w:t>
      </w:r>
      <w:r w:rsidR="00DC4E66">
        <w:rPr>
          <w:rStyle w:val="CodeChar"/>
        </w:rPr>
        <w:t xml:space="preserve"> </w:t>
      </w:r>
      <w:r w:rsidR="00DC4E66">
        <w:t xml:space="preserve">. </w:t>
      </w:r>
      <w:r w:rsidR="00DC4E66" w:rsidRPr="00DC4E66">
        <w:rPr>
          <w:rStyle w:val="CodeChar"/>
        </w:rPr>
        <w:t xml:space="preserve">X </w:t>
      </w:r>
      <w:r w:rsidR="00DC4E66">
        <w:t xml:space="preserve">is to be filled in as the first operand of this formula, which would make the resultant formula </w:t>
      </w:r>
      <w:r w:rsidR="00DC4E66">
        <w:rPr>
          <w:rStyle w:val="CodeChar"/>
        </w:rPr>
        <w:t>X &gt; </w:t>
      </w:r>
      <w:r w:rsidR="00DC4E66" w:rsidRPr="00DC4E66">
        <w:rPr>
          <w:rStyle w:val="CodeChar"/>
        </w:rPr>
        <w:t>2</w:t>
      </w:r>
      <w:r w:rsidR="00DC4E66">
        <w:t xml:space="preserve">. The second </w:t>
      </w:r>
      <w:r w:rsidR="00DC4E66" w:rsidRPr="00C344D4">
        <w:rPr>
          <w:rStyle w:val="CodeChar"/>
        </w:rPr>
        <w:t xml:space="preserve">Case </w:t>
      </w:r>
      <w:r w:rsidR="00DC4E66">
        <w:t xml:space="preserve">is the half formula </w:t>
      </w:r>
      <w:r w:rsidR="00DC4E66">
        <w:rPr>
          <w:rStyle w:val="CodeChar"/>
        </w:rPr>
        <w:t>= 10 </w:t>
      </w:r>
      <w:r w:rsidR="00DC4E66" w:rsidRPr="00DC4E66">
        <w:rPr>
          <w:rStyle w:val="CodeChar"/>
        </w:rPr>
        <w:t>–</w:t>
      </w:r>
      <w:r w:rsidR="00DC4E66">
        <w:rPr>
          <w:rStyle w:val="CodeChar"/>
        </w:rPr>
        <w:t> Y</w:t>
      </w:r>
      <w:r w:rsidR="00DC4E66">
        <w:t xml:space="preserve">. </w:t>
      </w:r>
      <w:r w:rsidR="00DC4E66" w:rsidRPr="00DC4E66">
        <w:rPr>
          <w:rStyle w:val="CodeChar"/>
        </w:rPr>
        <w:t>X</w:t>
      </w:r>
      <w:r w:rsidR="00DC4E66">
        <w:t xml:space="preserve"> is to be filled in as the first half of the formula, which would make the resultant formula </w:t>
      </w:r>
      <w:r w:rsidR="00DC4E66">
        <w:rPr>
          <w:rStyle w:val="CodeChar"/>
        </w:rPr>
        <w:t>X = 10 </w:t>
      </w:r>
      <w:r w:rsidR="00DC4E66" w:rsidRPr="00DC4E66">
        <w:rPr>
          <w:rStyle w:val="CodeChar"/>
        </w:rPr>
        <w:t>–</w:t>
      </w:r>
      <w:r w:rsidR="00DC4E66">
        <w:rPr>
          <w:rStyle w:val="CodeChar"/>
        </w:rPr>
        <w:t> </w:t>
      </w:r>
      <w:r w:rsidR="00DC4E66" w:rsidRPr="00DC4E66">
        <w:rPr>
          <w:rStyle w:val="CodeChar"/>
        </w:rPr>
        <w:t>Y</w:t>
      </w:r>
      <w:r w:rsidR="00DC4E66">
        <w:t>.</w:t>
      </w:r>
    </w:p>
    <w:p w:rsidR="00C50571" w:rsidRDefault="00C50571" w:rsidP="00C50571">
      <w:r>
        <w:t xml:space="preserve">Each </w:t>
      </w:r>
      <w:r w:rsidRPr="007751DE">
        <w:rPr>
          <w:rStyle w:val="CodeChar"/>
        </w:rPr>
        <w:t xml:space="preserve">Case </w:t>
      </w:r>
      <w:r>
        <w:t xml:space="preserve">has a </w:t>
      </w:r>
      <w:r w:rsidR="008E6214">
        <w:t>command</w:t>
      </w:r>
      <w:r w:rsidR="00C344D4">
        <w:t xml:space="preserve"> associated to it. </w:t>
      </w:r>
      <w:r>
        <w:t xml:space="preserve">Those </w:t>
      </w:r>
      <w:r w:rsidR="008E6214">
        <w:t>command</w:t>
      </w:r>
      <w:r>
        <w:t xml:space="preserve"> references are pointing to clauses defined outside the diamond. </w:t>
      </w:r>
      <w:r w:rsidR="00754C80">
        <w:t xml:space="preserve">When a resultant formula of the case returns </w:t>
      </w:r>
      <w:r w:rsidR="00754C80" w:rsidRPr="00754C80">
        <w:rPr>
          <w:rStyle w:val="CodeChar"/>
        </w:rPr>
        <w:t>True</w:t>
      </w:r>
      <w:r w:rsidR="00754C80">
        <w:t xml:space="preserve">, then the command associated with the case will be executed. </w:t>
      </w:r>
      <w:r>
        <w:t xml:space="preserve">At the bottom of the diamond there is also a command reference called </w:t>
      </w:r>
      <w:r w:rsidRPr="00052862">
        <w:rPr>
          <w:rStyle w:val="CodeChar"/>
        </w:rPr>
        <w:t>Else</w:t>
      </w:r>
      <w:r>
        <w:t>. It points to a clause defined outside the diamond. The command p</w:t>
      </w:r>
      <w:r w:rsidR="00DC4E66">
        <w:t xml:space="preserve">ointed to will be called if </w:t>
      </w:r>
      <w:r w:rsidR="00DC4E66" w:rsidRPr="00754C80">
        <w:rPr>
          <w:i/>
        </w:rPr>
        <w:t>none</w:t>
      </w:r>
      <w:r w:rsidR="00DC4E66">
        <w:t xml:space="preserve"> of the formulas results in the </w:t>
      </w:r>
      <w:r w:rsidR="00DC4E66" w:rsidRPr="00DC4E66">
        <w:rPr>
          <w:rStyle w:val="CodeChar"/>
        </w:rPr>
        <w:t>Boolean</w:t>
      </w:r>
      <w:r w:rsidR="00DC4E66">
        <w:t xml:space="preserve"> value </w:t>
      </w:r>
      <w:r w:rsidR="00DC4E66" w:rsidRPr="00DC4E66">
        <w:rPr>
          <w:rStyle w:val="CodeChar"/>
        </w:rPr>
        <w:t>True</w:t>
      </w:r>
      <w:r>
        <w:t>.</w:t>
      </w:r>
      <w:r w:rsidR="00C51C36">
        <w:t xml:space="preserve"> </w:t>
      </w:r>
      <w:r w:rsidR="00754C80">
        <w:t xml:space="preserve">If the </w:t>
      </w:r>
      <w:r w:rsidR="000644DE" w:rsidRPr="004F24AF">
        <w:rPr>
          <w:rStyle w:val="CodeChar"/>
        </w:rPr>
        <w:t xml:space="preserve">Else </w:t>
      </w:r>
      <w:r w:rsidR="000644DE">
        <w:t xml:space="preserve">clause </w:t>
      </w:r>
      <w:r w:rsidR="00754C80">
        <w:t xml:space="preserve">is not used, it </w:t>
      </w:r>
      <w:r w:rsidR="000644DE">
        <w:t>can be left out of the call and then it will not be shown in the diagram.</w:t>
      </w:r>
    </w:p>
    <w:p w:rsidR="00C344D4" w:rsidRDefault="00C344D4" w:rsidP="00C344D4">
      <w:pPr>
        <w:pStyle w:val="Spacing"/>
      </w:pPr>
    </w:p>
    <w:p w:rsidR="00C344D4" w:rsidRDefault="00C344D4" w:rsidP="00C344D4">
      <w:r>
        <w:t xml:space="preserve">Below is an example of the diagrammatic expression of a </w:t>
      </w:r>
      <w:r w:rsidRPr="00326B2D">
        <w:rPr>
          <w:rStyle w:val="CodeChar"/>
        </w:rPr>
        <w:t>Select Case</w:t>
      </w:r>
      <w:r>
        <w:t xml:space="preserve"> statement for split formulas, of which the first half of the formula is half a formula, and the second halves of the formula are values to be filled in as the missing operand in the first half of the formula.</w:t>
      </w:r>
    </w:p>
    <w:p w:rsidR="00BA4400" w:rsidRDefault="00BA4400" w:rsidP="00BA4400">
      <w:pPr>
        <w:pStyle w:val="Spacing"/>
      </w:pPr>
    </w:p>
    <w:p w:rsidR="00BA4400" w:rsidRDefault="00740C96" w:rsidP="00BA4400">
      <w:pPr>
        <w:ind w:left="852"/>
      </w:pPr>
      <w:r>
        <w:rPr>
          <w:noProof/>
        </w:rPr>
        <w:drawing>
          <wp:inline distT="0" distB="0" distL="0" distR="0">
            <wp:extent cx="2841625" cy="422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D4" w:rsidRDefault="00C344D4" w:rsidP="00C344D4">
      <w:pPr>
        <w:pStyle w:val="Spacing"/>
      </w:pPr>
    </w:p>
    <w:p w:rsidR="00C344D4" w:rsidRDefault="00C344D4" w:rsidP="00C344D4">
      <w:r>
        <w:t xml:space="preserve">The diamond is a call to the </w:t>
      </w:r>
      <w:r w:rsidRPr="007751DE">
        <w:rPr>
          <w:rStyle w:val="CodeChar"/>
        </w:rPr>
        <w:t xml:space="preserve">Select Case </w:t>
      </w:r>
      <w:r>
        <w:t xml:space="preserve">command. The square </w:t>
      </w:r>
      <w:r w:rsidR="00741E46">
        <w:t>at</w:t>
      </w:r>
      <w:r>
        <w:t xml:space="preserve"> the top of the diamond is the first half of the formula. It is a </w:t>
      </w:r>
      <w:r w:rsidRPr="00741E46">
        <w:rPr>
          <w:i/>
        </w:rPr>
        <w:t xml:space="preserve">greater than </w:t>
      </w:r>
      <w:r>
        <w:t xml:space="preserve">operation. The first operand of the formula is already filled in with the object </w:t>
      </w:r>
      <w:r w:rsidRPr="00741E46">
        <w:rPr>
          <w:rStyle w:val="CodeChar"/>
        </w:rPr>
        <w:t>X</w:t>
      </w:r>
      <w:r>
        <w:t xml:space="preserve">, by having the parameter point out of the diamond to the object called </w:t>
      </w:r>
      <w:r w:rsidRPr="00741E46">
        <w:rPr>
          <w:rStyle w:val="CodeChar"/>
        </w:rPr>
        <w:t>X</w:t>
      </w:r>
      <w:r>
        <w:t xml:space="preserve">. The second parameter of the operation is yet to be filled in by the </w:t>
      </w:r>
      <w:r w:rsidRPr="00C344D4">
        <w:rPr>
          <w:rStyle w:val="CodeChar"/>
        </w:rPr>
        <w:t xml:space="preserve">Cases </w:t>
      </w:r>
      <w:r>
        <w:t xml:space="preserve">of the </w:t>
      </w:r>
      <w:r w:rsidRPr="00C344D4">
        <w:rPr>
          <w:rStyle w:val="CodeChar"/>
        </w:rPr>
        <w:t xml:space="preserve">Select Case </w:t>
      </w:r>
      <w:r>
        <w:t>statement. In the middle of the diamond there is a nonagon, that represents the cases: different values to be filled in</w:t>
      </w:r>
      <w:r w:rsidR="00741E46">
        <w:t xml:space="preserve"> as </w:t>
      </w:r>
      <w:r>
        <w:t xml:space="preserve">the missing operand of the formula. The nonagon can contain any number of cases. Each circle inside a nonagon is a </w:t>
      </w:r>
      <w:r w:rsidRPr="007751DE">
        <w:rPr>
          <w:rStyle w:val="CodeChar"/>
        </w:rPr>
        <w:t>Case</w:t>
      </w:r>
      <w:r>
        <w:t xml:space="preserve">. Each case defines a value to be filled in as the missing operand of the formula. Each case also defines the command to call when the result of the formula is </w:t>
      </w:r>
      <w:r w:rsidRPr="00BA4400">
        <w:rPr>
          <w:rStyle w:val="CodeChar"/>
        </w:rPr>
        <w:t>True</w:t>
      </w:r>
      <w:r>
        <w:t xml:space="preserve">. In this example, there are two </w:t>
      </w:r>
      <w:r w:rsidRPr="007751DE">
        <w:rPr>
          <w:rStyle w:val="CodeChar"/>
        </w:rPr>
        <w:t>Cases</w:t>
      </w:r>
      <w:r>
        <w:t xml:space="preserve">. One </w:t>
      </w:r>
      <w:r w:rsidRPr="007751DE">
        <w:rPr>
          <w:rStyle w:val="CodeChar"/>
        </w:rPr>
        <w:t xml:space="preserve">Case </w:t>
      </w:r>
      <w:r w:rsidRPr="00DC4E66">
        <w:t xml:space="preserve">is </w:t>
      </w:r>
      <w:r>
        <w:t xml:space="preserve">the value </w:t>
      </w:r>
      <w:r w:rsidRPr="00C344D4">
        <w:rPr>
          <w:rStyle w:val="CodeChar"/>
        </w:rPr>
        <w:t>2</w:t>
      </w:r>
      <w:r>
        <w:t>. This value will be filled in as the missing operand of the formula. This makes the result</w:t>
      </w:r>
      <w:r w:rsidR="00D07973">
        <w:t>ant</w:t>
      </w:r>
      <w:r>
        <w:t xml:space="preserve"> formula </w:t>
      </w:r>
      <w:r w:rsidRPr="00C344D4">
        <w:rPr>
          <w:rStyle w:val="CodeChar"/>
        </w:rPr>
        <w:t>X &gt; 2</w:t>
      </w:r>
      <w:r>
        <w:t xml:space="preserve">. The second </w:t>
      </w:r>
      <w:r w:rsidRPr="00C344D4">
        <w:rPr>
          <w:rStyle w:val="CodeChar"/>
        </w:rPr>
        <w:t xml:space="preserve">Case </w:t>
      </w:r>
      <w:r>
        <w:t xml:space="preserve">is not a fixed value, but points to the variable </w:t>
      </w:r>
      <w:r w:rsidRPr="00741E46">
        <w:rPr>
          <w:rStyle w:val="CodeChar"/>
        </w:rPr>
        <w:t>Y</w:t>
      </w:r>
      <w:r>
        <w:t xml:space="preserve">, which is defined outside the diamond. </w:t>
      </w:r>
      <w:r w:rsidRPr="00741E46">
        <w:rPr>
          <w:rStyle w:val="CodeChar"/>
        </w:rPr>
        <w:t>Y</w:t>
      </w:r>
      <w:r>
        <w:t xml:space="preserve"> is filled in as the missing operand of the formula. This makes the resultant formula </w:t>
      </w:r>
      <w:r w:rsidR="003F6C28" w:rsidRPr="003F6C28">
        <w:rPr>
          <w:rStyle w:val="CodeChar"/>
        </w:rPr>
        <w:t>X &gt; Y</w:t>
      </w:r>
      <w:r>
        <w:t>.</w:t>
      </w:r>
    </w:p>
    <w:p w:rsidR="00C344D4" w:rsidRDefault="00C344D4" w:rsidP="00C344D4">
      <w:r>
        <w:t xml:space="preserve">Each </w:t>
      </w:r>
      <w:r w:rsidRPr="007751DE">
        <w:rPr>
          <w:rStyle w:val="CodeChar"/>
        </w:rPr>
        <w:t xml:space="preserve">Case </w:t>
      </w:r>
      <w:r>
        <w:t xml:space="preserve">has a </w:t>
      </w:r>
      <w:r w:rsidR="008E6214">
        <w:t>command</w:t>
      </w:r>
      <w:r>
        <w:t xml:space="preserve"> associated to it. Those </w:t>
      </w:r>
      <w:r w:rsidR="008E6214">
        <w:t>command</w:t>
      </w:r>
      <w:r>
        <w:t xml:space="preserve"> references are pointing to clauses defined outside the diamond. </w:t>
      </w:r>
      <w:r w:rsidR="00741E46">
        <w:t xml:space="preserve">Every </w:t>
      </w:r>
      <w:r w:rsidR="008E6214">
        <w:t>command</w:t>
      </w:r>
      <w:r w:rsidR="00741E46">
        <w:t xml:space="preserve"> for which the resultant formula returns </w:t>
      </w:r>
      <w:r w:rsidR="00741E46" w:rsidRPr="00741E46">
        <w:rPr>
          <w:rStyle w:val="CodeChar"/>
        </w:rPr>
        <w:t xml:space="preserve">True </w:t>
      </w:r>
      <w:r w:rsidR="00741E46">
        <w:t xml:space="preserve">is executed. </w:t>
      </w:r>
      <w:r>
        <w:t xml:space="preserve">At the bottom of the diamond there is also a command reference called </w:t>
      </w:r>
      <w:r w:rsidRPr="00052862">
        <w:rPr>
          <w:rStyle w:val="CodeChar"/>
        </w:rPr>
        <w:t>Else</w:t>
      </w:r>
      <w:r>
        <w:t xml:space="preserve">. It points to a clause defined outside the diamond. The command pointed to will be called if none of the formulas results in the </w:t>
      </w:r>
      <w:r w:rsidRPr="00DC4E66">
        <w:rPr>
          <w:rStyle w:val="CodeChar"/>
        </w:rPr>
        <w:t>Boolean</w:t>
      </w:r>
      <w:r>
        <w:t xml:space="preserve"> value </w:t>
      </w:r>
      <w:r w:rsidRPr="00DC4E66">
        <w:rPr>
          <w:rStyle w:val="CodeChar"/>
        </w:rPr>
        <w:t>True</w:t>
      </w:r>
      <w:r>
        <w:t>.</w:t>
      </w:r>
      <w:r w:rsidR="00C51C36">
        <w:t xml:space="preserve"> </w:t>
      </w:r>
      <w:r w:rsidR="00754C80">
        <w:t xml:space="preserve">If the </w:t>
      </w:r>
      <w:r w:rsidR="00754C80" w:rsidRPr="004F24AF">
        <w:rPr>
          <w:rStyle w:val="CodeChar"/>
        </w:rPr>
        <w:t xml:space="preserve">Else </w:t>
      </w:r>
      <w:r w:rsidR="00754C80">
        <w:t>clause is not used, it can be left out of the call and then it will not be shown in the diagram.</w:t>
      </w:r>
    </w:p>
    <w:p w:rsidR="00741E46" w:rsidRDefault="00741E46" w:rsidP="00AA04DB">
      <w:pPr>
        <w:pStyle w:val="Spacing"/>
      </w:pPr>
    </w:p>
    <w:p w:rsidR="00741E46" w:rsidRDefault="00741E46" w:rsidP="00C344D4">
      <w:r>
        <w:t>In the examples above, each value, that was litterly filled in, could also have been a pointer to something remote. Conversely, everything that was a pointer to something outside the diamond, could also have been defined directly inside the diamond.</w:t>
      </w:r>
    </w:p>
    <w:p w:rsidR="00AA04DB" w:rsidRDefault="00AA04DB" w:rsidP="00AA04DB">
      <w:pPr>
        <w:pStyle w:val="Spacing"/>
      </w:pPr>
    </w:p>
    <w:p w:rsidR="00AA04DB" w:rsidRDefault="00AA04DB" w:rsidP="00AA04DB">
      <w:r>
        <w:t xml:space="preserve">The definition of the </w:t>
      </w:r>
      <w:r w:rsidRPr="004779B5">
        <w:rPr>
          <w:rStyle w:val="CodeChar"/>
        </w:rPr>
        <w:t xml:space="preserve">Select Case </w:t>
      </w:r>
      <w:r>
        <w:t>execution control commands is part of a system module of execution control commands. The public elements of the definition for a value as the first part of the formula looks like this:</w:t>
      </w:r>
    </w:p>
    <w:p w:rsidR="006C1E74" w:rsidRDefault="006C1E74" w:rsidP="006C1E74">
      <w:pPr>
        <w:pStyle w:val="Spacing"/>
      </w:pPr>
    </w:p>
    <w:p w:rsidR="006C1E74" w:rsidRDefault="00740C96" w:rsidP="006C1E74">
      <w:pPr>
        <w:ind w:left="852"/>
      </w:pPr>
      <w:r>
        <w:rPr>
          <w:noProof/>
        </w:rPr>
        <w:drawing>
          <wp:inline distT="0" distB="0" distL="0" distR="0">
            <wp:extent cx="2679700" cy="2031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DB" w:rsidRDefault="00AA04DB" w:rsidP="00AA04DB">
      <w:pPr>
        <w:pStyle w:val="Spacing"/>
      </w:pPr>
    </w:p>
    <w:p w:rsidR="00AA04DB" w:rsidRDefault="00AA04DB" w:rsidP="00AA04DB">
      <w:r>
        <w:t xml:space="preserve">Nothing is filled in yet as the </w:t>
      </w:r>
      <w:r w:rsidRPr="004779B5">
        <w:rPr>
          <w:rStyle w:val="CodeChar"/>
        </w:rPr>
        <w:t xml:space="preserve">Select </w:t>
      </w:r>
      <w:r>
        <w:t xml:space="preserve">or </w:t>
      </w:r>
      <w:r w:rsidRPr="004779B5">
        <w:rPr>
          <w:rStyle w:val="CodeChar"/>
        </w:rPr>
        <w:t>Else</w:t>
      </w:r>
      <w:r>
        <w:t xml:space="preserve">, and there are no </w:t>
      </w:r>
      <w:r w:rsidRPr="004779B5">
        <w:rPr>
          <w:rStyle w:val="CodeChar"/>
        </w:rPr>
        <w:t xml:space="preserve">Cases </w:t>
      </w:r>
      <w:r>
        <w:t xml:space="preserve">defined, but a </w:t>
      </w:r>
      <w:r w:rsidRPr="00D07973">
        <w:rPr>
          <w:i/>
        </w:rPr>
        <w:t>class</w:t>
      </w:r>
      <w:r>
        <w:t xml:space="preserve"> for a </w:t>
      </w:r>
      <w:r w:rsidRPr="004779B5">
        <w:rPr>
          <w:rStyle w:val="CodeChar"/>
        </w:rPr>
        <w:t xml:space="preserve">Case </w:t>
      </w:r>
      <w:r w:rsidRPr="004779B5">
        <w:rPr>
          <w:i/>
        </w:rPr>
        <w:t xml:space="preserve">is </w:t>
      </w:r>
      <w:r>
        <w:t>defined.</w:t>
      </w:r>
      <w:r w:rsidR="002F7BAD">
        <w:t xml:space="preserve"> There is also a definition without an </w:t>
      </w:r>
      <w:r w:rsidR="002F7BAD" w:rsidRPr="0059022D">
        <w:rPr>
          <w:rStyle w:val="CodeChar"/>
        </w:rPr>
        <w:t xml:space="preserve">Else </w:t>
      </w:r>
      <w:r w:rsidR="002F7BAD">
        <w:t>clause in it.</w:t>
      </w:r>
    </w:p>
    <w:p w:rsidR="00AA04DB" w:rsidRDefault="00AA04DB" w:rsidP="00AA04DB">
      <w:pPr>
        <w:pStyle w:val="Spacing"/>
      </w:pPr>
    </w:p>
    <w:p w:rsidR="00AA04DB" w:rsidRDefault="00AA04DB" w:rsidP="00AA04DB">
      <w:r>
        <w:t>The public elements of the definition for half a formula as the first part of the formula looks like this:</w:t>
      </w:r>
    </w:p>
    <w:p w:rsidR="00DC4E66" w:rsidRDefault="00DC4E66" w:rsidP="00AA04DB">
      <w:pPr>
        <w:pStyle w:val="Spacing"/>
      </w:pPr>
    </w:p>
    <w:p w:rsidR="006C1E74" w:rsidRDefault="00740C96" w:rsidP="006C1E74">
      <w:pPr>
        <w:ind w:left="852"/>
      </w:pPr>
      <w:r>
        <w:rPr>
          <w:noProof/>
        </w:rPr>
        <w:drawing>
          <wp:inline distT="0" distB="0" distL="0" distR="0">
            <wp:extent cx="269113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DB" w:rsidRDefault="00AA04DB" w:rsidP="00AA04DB">
      <w:pPr>
        <w:pStyle w:val="Spacing"/>
      </w:pPr>
    </w:p>
    <w:p w:rsidR="00206C7B" w:rsidRDefault="00AA04DB" w:rsidP="00AA04DB">
      <w:r>
        <w:t xml:space="preserve">Nothing is filled in yet as the </w:t>
      </w:r>
      <w:r w:rsidRPr="004779B5">
        <w:rPr>
          <w:rStyle w:val="CodeChar"/>
        </w:rPr>
        <w:t xml:space="preserve">Select </w:t>
      </w:r>
      <w:r>
        <w:t xml:space="preserve">or </w:t>
      </w:r>
      <w:r w:rsidRPr="004779B5">
        <w:rPr>
          <w:rStyle w:val="CodeChar"/>
        </w:rPr>
        <w:t>Else</w:t>
      </w:r>
      <w:r>
        <w:t xml:space="preserve">, and there are no </w:t>
      </w:r>
      <w:r w:rsidRPr="004779B5">
        <w:rPr>
          <w:rStyle w:val="CodeChar"/>
        </w:rPr>
        <w:t xml:space="preserve">Cases </w:t>
      </w:r>
      <w:r>
        <w:t xml:space="preserve">defined, but a </w:t>
      </w:r>
      <w:r w:rsidRPr="00D07973">
        <w:rPr>
          <w:i/>
        </w:rPr>
        <w:t>class</w:t>
      </w:r>
      <w:r>
        <w:t xml:space="preserve"> for a </w:t>
      </w:r>
      <w:r w:rsidRPr="004779B5">
        <w:rPr>
          <w:rStyle w:val="CodeChar"/>
        </w:rPr>
        <w:t xml:space="preserve">Case </w:t>
      </w:r>
      <w:r w:rsidRPr="004779B5">
        <w:rPr>
          <w:i/>
        </w:rPr>
        <w:t xml:space="preserve">is </w:t>
      </w:r>
      <w:r>
        <w:t>defined.</w:t>
      </w:r>
    </w:p>
    <w:p w:rsidR="00206C7B" w:rsidRDefault="00206C7B" w:rsidP="00206C7B">
      <w:pPr>
        <w:pStyle w:val="Spacing"/>
      </w:pPr>
    </w:p>
    <w:p w:rsidR="00206C7B" w:rsidRDefault="00206C7B" w:rsidP="00206C7B">
      <w:r>
        <w:t xml:space="preserve">There is another, separate definition of the </w:t>
      </w:r>
      <w:r>
        <w:rPr>
          <w:rStyle w:val="CodeChar"/>
        </w:rPr>
        <w:t>Select Case</w:t>
      </w:r>
      <w:r w:rsidRPr="002150DC">
        <w:rPr>
          <w:rStyle w:val="CodeChar"/>
        </w:rPr>
        <w:t xml:space="preserve"> </w:t>
      </w:r>
      <w:r>
        <w:t xml:space="preserve">command for formulas, that is the same as the other </w:t>
      </w:r>
      <w:r>
        <w:rPr>
          <w:rStyle w:val="CodeChar"/>
        </w:rPr>
        <w:t>Select Case</w:t>
      </w:r>
      <w:r w:rsidRPr="002150DC">
        <w:rPr>
          <w:rStyle w:val="CodeChar"/>
        </w:rPr>
        <w:t xml:space="preserve"> </w:t>
      </w:r>
      <w:r>
        <w:t xml:space="preserve">command definition, except that it does not have an </w:t>
      </w:r>
      <w:r w:rsidRPr="0059022D">
        <w:rPr>
          <w:rStyle w:val="CodeChar"/>
        </w:rPr>
        <w:t xml:space="preserve">Else </w:t>
      </w:r>
      <w:r>
        <w:t>clause in it.</w:t>
      </w:r>
    </w:p>
    <w:sectPr w:rsidR="00206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6874"/>
    <w:rsid w:val="00031913"/>
    <w:rsid w:val="00053E87"/>
    <w:rsid w:val="00064403"/>
    <w:rsid w:val="000644DE"/>
    <w:rsid w:val="000C7D9D"/>
    <w:rsid w:val="000D7022"/>
    <w:rsid w:val="000F652F"/>
    <w:rsid w:val="00175EE4"/>
    <w:rsid w:val="00177197"/>
    <w:rsid w:val="001B7346"/>
    <w:rsid w:val="001F1952"/>
    <w:rsid w:val="00206C7B"/>
    <w:rsid w:val="0027394B"/>
    <w:rsid w:val="002C166C"/>
    <w:rsid w:val="002F7BAD"/>
    <w:rsid w:val="00311845"/>
    <w:rsid w:val="0032466D"/>
    <w:rsid w:val="003271FC"/>
    <w:rsid w:val="003F6C28"/>
    <w:rsid w:val="0041620C"/>
    <w:rsid w:val="004348B0"/>
    <w:rsid w:val="004D4169"/>
    <w:rsid w:val="00532D2F"/>
    <w:rsid w:val="00571582"/>
    <w:rsid w:val="00574711"/>
    <w:rsid w:val="005A1878"/>
    <w:rsid w:val="006031D7"/>
    <w:rsid w:val="006876A4"/>
    <w:rsid w:val="006B64D3"/>
    <w:rsid w:val="006C1E74"/>
    <w:rsid w:val="006C3986"/>
    <w:rsid w:val="006F2631"/>
    <w:rsid w:val="00740C96"/>
    <w:rsid w:val="00741E46"/>
    <w:rsid w:val="007442B6"/>
    <w:rsid w:val="00754C80"/>
    <w:rsid w:val="007A754A"/>
    <w:rsid w:val="007E7FC4"/>
    <w:rsid w:val="00840264"/>
    <w:rsid w:val="00846B80"/>
    <w:rsid w:val="008C6D6B"/>
    <w:rsid w:val="008E6214"/>
    <w:rsid w:val="008F228C"/>
    <w:rsid w:val="009005D8"/>
    <w:rsid w:val="00916207"/>
    <w:rsid w:val="00916A8F"/>
    <w:rsid w:val="00954D31"/>
    <w:rsid w:val="009A1E2B"/>
    <w:rsid w:val="009C617F"/>
    <w:rsid w:val="009F2C47"/>
    <w:rsid w:val="00A37A6A"/>
    <w:rsid w:val="00A531F0"/>
    <w:rsid w:val="00AA04DB"/>
    <w:rsid w:val="00AA0A55"/>
    <w:rsid w:val="00AC64AE"/>
    <w:rsid w:val="00AD0AD9"/>
    <w:rsid w:val="00B25223"/>
    <w:rsid w:val="00B53CD4"/>
    <w:rsid w:val="00B633F4"/>
    <w:rsid w:val="00BA4400"/>
    <w:rsid w:val="00BB7D36"/>
    <w:rsid w:val="00BF0D7A"/>
    <w:rsid w:val="00C057FC"/>
    <w:rsid w:val="00C344D4"/>
    <w:rsid w:val="00C50571"/>
    <w:rsid w:val="00C51C36"/>
    <w:rsid w:val="00C82778"/>
    <w:rsid w:val="00CB76F0"/>
    <w:rsid w:val="00CC0B47"/>
    <w:rsid w:val="00D06B66"/>
    <w:rsid w:val="00D07973"/>
    <w:rsid w:val="00D427CC"/>
    <w:rsid w:val="00DA36B4"/>
    <w:rsid w:val="00DC1C56"/>
    <w:rsid w:val="00DC4E66"/>
    <w:rsid w:val="00DF5BE0"/>
    <w:rsid w:val="00E2113B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0B75961-3D18-44CB-8EB2-0CA28F24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2020-05-20T19:07:00Z</dcterms:created>
  <dcterms:modified xsi:type="dcterms:W3CDTF">2020-05-20T19:07:00Z</dcterms:modified>
</cp:coreProperties>
</file>