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D6CCB" w:rsidTr="002B219D">
        <w:tc>
          <w:tcPr>
            <w:tcW w:w="5000" w:type="pct"/>
            <w:shd w:val="clear" w:color="auto" w:fill="3366FF"/>
          </w:tcPr>
          <w:p w:rsidR="003271FC" w:rsidRPr="008C33D2" w:rsidRDefault="002B219D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7351B4" w:rsidP="003271FC">
      <w:pPr>
        <w:pStyle w:val="Heading2"/>
      </w:pPr>
      <w:r>
        <w:t xml:space="preserve">For </w:t>
      </w:r>
      <w:r w:rsidR="00FE22A4">
        <w:t>in a Diagram</w:t>
      </w:r>
    </w:p>
    <w:p w:rsidR="00521CF5" w:rsidRDefault="00521CF5" w:rsidP="00521CF5">
      <w:r>
        <w:t xml:space="preserve">The concept of the </w:t>
      </w:r>
      <w:r w:rsidR="007351B4">
        <w:rPr>
          <w:rStyle w:val="CodeChar"/>
        </w:rPr>
        <w:t xml:space="preserve">For </w:t>
      </w:r>
      <w:r w:rsidR="007351B4">
        <w:t xml:space="preserve">loop </w:t>
      </w:r>
      <w:r>
        <w:t xml:space="preserve">is already covered by the article </w:t>
      </w:r>
      <w:r w:rsidR="007351B4">
        <w:rPr>
          <w:i/>
        </w:rPr>
        <w:t>For</w:t>
      </w:r>
      <w:r w:rsidRPr="00521CF5">
        <w:t xml:space="preserve">. </w:t>
      </w:r>
      <w:r w:rsidR="007351B4">
        <w:t xml:space="preserve">The articles that follow </w:t>
      </w:r>
      <w:r>
        <w:t>only explains its expression in a diagram.</w:t>
      </w:r>
    </w:p>
    <w:p w:rsidR="00521CF5" w:rsidRDefault="00521CF5" w:rsidP="00521CF5">
      <w:pPr>
        <w:pStyle w:val="Spacing"/>
      </w:pPr>
    </w:p>
    <w:p w:rsidR="0027394B" w:rsidRDefault="00521CF5" w:rsidP="00E8670E">
      <w:r>
        <w:t xml:space="preserve">Each type of </w:t>
      </w:r>
      <w:r w:rsidR="007351B4">
        <w:rPr>
          <w:rStyle w:val="CodeChar"/>
        </w:rPr>
        <w:t>For</w:t>
      </w:r>
      <w:r w:rsidR="007351B4" w:rsidRPr="007351B4">
        <w:t xml:space="preserve"> loop</w:t>
      </w:r>
      <w:r w:rsidRPr="00521CF5">
        <w:rPr>
          <w:rStyle w:val="CodeChar"/>
        </w:rPr>
        <w:t xml:space="preserve"> </w:t>
      </w:r>
      <w:r>
        <w:t xml:space="preserve">has a slight variation in diagram notation. There are three definitions of </w:t>
      </w:r>
      <w:r w:rsidR="007351B4">
        <w:rPr>
          <w:rStyle w:val="CodeChar"/>
        </w:rPr>
        <w:t>For</w:t>
      </w:r>
      <w:r>
        <w:t xml:space="preserve"> commands. They will be covered in th</w:t>
      </w:r>
      <w:r w:rsidR="00115189">
        <w:t>e</w:t>
      </w:r>
      <w:r>
        <w:t xml:space="preserve"> articles </w:t>
      </w:r>
      <w:r w:rsidR="007351B4">
        <w:rPr>
          <w:i/>
        </w:rPr>
        <w:t xml:space="preserve">For </w:t>
      </w:r>
      <w:r w:rsidRPr="00FE22A4">
        <w:rPr>
          <w:i/>
        </w:rPr>
        <w:t>(</w:t>
      </w:r>
      <w:r w:rsidR="007351B4">
        <w:rPr>
          <w:i/>
        </w:rPr>
        <w:t>range</w:t>
      </w:r>
      <w:r w:rsidRPr="00FE22A4">
        <w:rPr>
          <w:i/>
        </w:rPr>
        <w:t>)</w:t>
      </w:r>
      <w:r>
        <w:rPr>
          <w:i/>
        </w:rPr>
        <w:t xml:space="preserve"> in a Diagram</w:t>
      </w:r>
      <w:r>
        <w:t xml:space="preserve">, </w:t>
      </w:r>
      <w:r w:rsidR="007351B4">
        <w:rPr>
          <w:i/>
        </w:rPr>
        <w:t xml:space="preserve">For </w:t>
      </w:r>
      <w:r w:rsidRPr="00FE22A4">
        <w:rPr>
          <w:i/>
        </w:rPr>
        <w:t>(</w:t>
      </w:r>
      <w:r w:rsidR="007351B4">
        <w:rPr>
          <w:i/>
        </w:rPr>
        <w:t>condition</w:t>
      </w:r>
      <w:r w:rsidR="00915222">
        <w:rPr>
          <w:i/>
        </w:rPr>
        <w:t>al</w:t>
      </w:r>
      <w:r w:rsidRPr="00FE22A4">
        <w:rPr>
          <w:i/>
        </w:rPr>
        <w:t>)</w:t>
      </w:r>
      <w:r>
        <w:rPr>
          <w:i/>
        </w:rPr>
        <w:t xml:space="preserve"> in a Diagram</w:t>
      </w:r>
      <w:r w:rsidR="007351B4" w:rsidRPr="007351B4">
        <w:t xml:space="preserve"> and </w:t>
      </w:r>
      <w:r w:rsidR="007351B4" w:rsidRPr="007351B4">
        <w:rPr>
          <w:i/>
        </w:rPr>
        <w:t>For Each</w:t>
      </w:r>
      <w:r w:rsidR="00115189">
        <w:rPr>
          <w:i/>
        </w:rPr>
        <w:t xml:space="preserve"> in a Diagram</w:t>
      </w:r>
      <w:r w:rsidRPr="00521CF5">
        <w:t>.</w:t>
      </w:r>
    </w:p>
    <w:sectPr w:rsidR="00273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15189"/>
    <w:rsid w:val="00175EE4"/>
    <w:rsid w:val="00177197"/>
    <w:rsid w:val="001B7346"/>
    <w:rsid w:val="0027394B"/>
    <w:rsid w:val="002B219D"/>
    <w:rsid w:val="002C166C"/>
    <w:rsid w:val="00311845"/>
    <w:rsid w:val="0032466D"/>
    <w:rsid w:val="003271FC"/>
    <w:rsid w:val="003D196F"/>
    <w:rsid w:val="003E1D6B"/>
    <w:rsid w:val="0041620C"/>
    <w:rsid w:val="004348B0"/>
    <w:rsid w:val="00447D7E"/>
    <w:rsid w:val="004D4169"/>
    <w:rsid w:val="00521CF5"/>
    <w:rsid w:val="00532D2F"/>
    <w:rsid w:val="00571582"/>
    <w:rsid w:val="00574711"/>
    <w:rsid w:val="005A1878"/>
    <w:rsid w:val="005D6CCB"/>
    <w:rsid w:val="006876A4"/>
    <w:rsid w:val="006B64D3"/>
    <w:rsid w:val="006F2631"/>
    <w:rsid w:val="007351B4"/>
    <w:rsid w:val="007442B6"/>
    <w:rsid w:val="007E7FC4"/>
    <w:rsid w:val="00840264"/>
    <w:rsid w:val="00846B80"/>
    <w:rsid w:val="008959EC"/>
    <w:rsid w:val="008C6D6B"/>
    <w:rsid w:val="008F228C"/>
    <w:rsid w:val="00915222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D6205"/>
    <w:rsid w:val="00BF0D7A"/>
    <w:rsid w:val="00C057FC"/>
    <w:rsid w:val="00C82778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E22A4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37BD03-C403-4183-BAAF-9582E6D8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