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B0D11" w:rsidTr="004C3C5B">
        <w:tc>
          <w:tcPr>
            <w:tcW w:w="5000" w:type="pct"/>
            <w:shd w:val="clear" w:color="auto" w:fill="3366FF"/>
          </w:tcPr>
          <w:p w:rsidR="003271FC" w:rsidRPr="008C33D2" w:rsidRDefault="004C3C5B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831332" w:rsidP="003271FC">
      <w:pPr>
        <w:pStyle w:val="Heading2"/>
      </w:pPr>
      <w:r>
        <w:t xml:space="preserve">For </w:t>
      </w:r>
      <w:r w:rsidR="00276FF0">
        <w:t xml:space="preserve">Each </w:t>
      </w:r>
      <w:r w:rsidR="00D1799B">
        <w:t>in a Diagram</w:t>
      </w:r>
    </w:p>
    <w:p w:rsidR="00C53AB4" w:rsidRDefault="00C53AB4" w:rsidP="00C53AB4">
      <w:r>
        <w:t xml:space="preserve">The concept of the </w:t>
      </w:r>
      <w:r w:rsidR="00831332">
        <w:rPr>
          <w:rStyle w:val="CodeChar"/>
        </w:rPr>
        <w:t>For</w:t>
      </w:r>
      <w:r w:rsidR="00276FF0">
        <w:rPr>
          <w:rStyle w:val="CodeChar"/>
        </w:rPr>
        <w:t xml:space="preserve"> Each</w:t>
      </w:r>
      <w:r w:rsidR="00831332">
        <w:rPr>
          <w:rStyle w:val="CodeChar"/>
        </w:rPr>
        <w:t xml:space="preserve"> </w:t>
      </w:r>
      <w:r>
        <w:t xml:space="preserve">statement is already covered </w:t>
      </w:r>
      <w:r w:rsidR="00A7668C">
        <w:t>by</w:t>
      </w:r>
      <w:r>
        <w:t xml:space="preserve"> the article </w:t>
      </w:r>
      <w:r w:rsidR="00831332">
        <w:rPr>
          <w:i/>
        </w:rPr>
        <w:t>For</w:t>
      </w:r>
      <w:r w:rsidR="00276FF0">
        <w:rPr>
          <w:i/>
        </w:rPr>
        <w:t xml:space="preserve"> Each</w:t>
      </w:r>
      <w:r>
        <w:t>. This article only explains its expression in a diagram.</w:t>
      </w:r>
    </w:p>
    <w:p w:rsidR="000F6824" w:rsidRDefault="000F6824" w:rsidP="00326B2D">
      <w:pPr>
        <w:pStyle w:val="Spacing"/>
      </w:pPr>
    </w:p>
    <w:p w:rsidR="0027394B" w:rsidRDefault="00326B2D" w:rsidP="00E8670E">
      <w:r>
        <w:t xml:space="preserve">Below is an example of the diagrammatic expression of a </w:t>
      </w:r>
      <w:r w:rsidR="00831332">
        <w:rPr>
          <w:rStyle w:val="CodeChar"/>
        </w:rPr>
        <w:t>For</w:t>
      </w:r>
      <w:r w:rsidR="00276FF0">
        <w:rPr>
          <w:rStyle w:val="CodeChar"/>
        </w:rPr>
        <w:t xml:space="preserve"> Each</w:t>
      </w:r>
      <w:r w:rsidR="00831332" w:rsidRPr="00831332">
        <w:t xml:space="preserve"> </w:t>
      </w:r>
      <w:r w:rsidR="00B47665">
        <w:t>statement</w:t>
      </w:r>
      <w:r>
        <w:t>.</w:t>
      </w:r>
    </w:p>
    <w:p w:rsidR="007751DE" w:rsidRDefault="007751DE" w:rsidP="007751DE">
      <w:pPr>
        <w:pStyle w:val="Spacing"/>
      </w:pPr>
    </w:p>
    <w:p w:rsidR="007751DE" w:rsidRDefault="00A04B34" w:rsidP="007751DE">
      <w:pPr>
        <w:ind w:left="852"/>
      </w:pPr>
      <w:r>
        <w:rPr>
          <w:noProof/>
        </w:rPr>
        <w:drawing>
          <wp:inline distT="0" distB="0" distL="0" distR="0">
            <wp:extent cx="2592705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7751DE">
      <w:pPr>
        <w:pStyle w:val="Spacing"/>
      </w:pPr>
    </w:p>
    <w:p w:rsidR="005B1B55" w:rsidRDefault="007751DE" w:rsidP="007751DE">
      <w:r>
        <w:t xml:space="preserve">The diamond is a call to the </w:t>
      </w:r>
      <w:r w:rsidR="00724389" w:rsidRPr="00724389">
        <w:rPr>
          <w:rStyle w:val="CodeChar"/>
        </w:rPr>
        <w:t>F</w:t>
      </w:r>
      <w:r w:rsidR="00724389">
        <w:rPr>
          <w:rStyle w:val="CodeChar"/>
        </w:rPr>
        <w:t>or</w:t>
      </w:r>
      <w:r w:rsidRPr="007751DE">
        <w:rPr>
          <w:rStyle w:val="CodeChar"/>
        </w:rPr>
        <w:t xml:space="preserve"> </w:t>
      </w:r>
      <w:r w:rsidR="005B1B55">
        <w:rPr>
          <w:rStyle w:val="CodeChar"/>
        </w:rPr>
        <w:t xml:space="preserve">Each </w:t>
      </w:r>
      <w:r w:rsidR="00724389">
        <w:t>command.</w:t>
      </w:r>
      <w:r w:rsidR="005B1B55">
        <w:t xml:space="preserve"> There is a nonagon called </w:t>
      </w:r>
      <w:r w:rsidR="005B1B55" w:rsidRPr="005B1B55">
        <w:rPr>
          <w:rStyle w:val="CodeChar"/>
        </w:rPr>
        <w:t xml:space="preserve">In </w:t>
      </w:r>
      <w:r w:rsidR="005B1B55" w:rsidRPr="005B1B55">
        <w:t xml:space="preserve">visible </w:t>
      </w:r>
      <w:r w:rsidR="005B1B55">
        <w:t xml:space="preserve">inside the diamond. The </w:t>
      </w:r>
      <w:r w:rsidR="005B1B55" w:rsidRPr="005B1B55">
        <w:rPr>
          <w:rStyle w:val="CodeChar"/>
        </w:rPr>
        <w:t xml:space="preserve">In </w:t>
      </w:r>
      <w:r w:rsidR="005B1B55">
        <w:t>parameter can point to any collection to loop through.</w:t>
      </w:r>
    </w:p>
    <w:p w:rsidR="005B1B55" w:rsidRDefault="005B1B55" w:rsidP="005B1B55">
      <w:pPr>
        <w:pStyle w:val="Spacing"/>
      </w:pPr>
    </w:p>
    <w:p w:rsidR="005B1B55" w:rsidRDefault="005B1B55" w:rsidP="007751DE">
      <w:r>
        <w:t>The diamond contains a</w:t>
      </w:r>
      <w:r w:rsidR="00F5676A">
        <w:t xml:space="preserve"> circle</w:t>
      </w:r>
      <w:r w:rsidR="00724389">
        <w:t xml:space="preserve">, named </w:t>
      </w:r>
      <w:r>
        <w:rPr>
          <w:rStyle w:val="CodeChar"/>
        </w:rPr>
        <w:t>Item</w:t>
      </w:r>
      <w:r w:rsidR="00F5676A" w:rsidRPr="00F5676A">
        <w:t>, which</w:t>
      </w:r>
      <w:r w:rsidR="00724389" w:rsidRPr="00724389">
        <w:rPr>
          <w:rStyle w:val="CodeChar"/>
        </w:rPr>
        <w:t xml:space="preserve"> </w:t>
      </w:r>
      <w:r w:rsidR="00724389">
        <w:t xml:space="preserve">will hold the current </w:t>
      </w:r>
      <w:r>
        <w:t>item of the colle</w:t>
      </w:r>
      <w:r w:rsidR="007F32B8">
        <w:t>c</w:t>
      </w:r>
      <w:r>
        <w:t>tion</w:t>
      </w:r>
      <w:r w:rsidR="00724389">
        <w:t xml:space="preserve">. </w:t>
      </w:r>
      <w:r>
        <w:t xml:space="preserve">The </w:t>
      </w:r>
      <w:r w:rsidR="00724389">
        <w:t xml:space="preserve">current </w:t>
      </w:r>
      <w:r>
        <w:t xml:space="preserve">item </w:t>
      </w:r>
      <w:r w:rsidR="00724389">
        <w:t xml:space="preserve">is passed to the </w:t>
      </w:r>
      <w:smartTag w:uri="urn:schemas-microsoft-com:office:smarttags" w:element="place">
        <w:r w:rsidR="00724389" w:rsidRPr="00724389">
          <w:rPr>
            <w:rStyle w:val="CodeChar"/>
          </w:rPr>
          <w:t>Loop</w:t>
        </w:r>
      </w:smartTag>
      <w:r w:rsidR="00724389" w:rsidRPr="00724389">
        <w:rPr>
          <w:rStyle w:val="CodeChar"/>
        </w:rPr>
        <w:t xml:space="preserve"> </w:t>
      </w:r>
      <w:r w:rsidR="00724389">
        <w:t xml:space="preserve">procedure, </w:t>
      </w:r>
      <w:r w:rsidR="00F5676A">
        <w:t xml:space="preserve">that will be run multiple times. The </w:t>
      </w:r>
      <w:smartTag w:uri="urn:schemas-microsoft-com:office:smarttags" w:element="place">
        <w:r w:rsidR="00F5676A" w:rsidRPr="00F5676A">
          <w:rPr>
            <w:rStyle w:val="CodeChar"/>
          </w:rPr>
          <w:t>Loop</w:t>
        </w:r>
      </w:smartTag>
      <w:r w:rsidR="00F5676A" w:rsidRPr="00F5676A">
        <w:rPr>
          <w:rStyle w:val="CodeChar"/>
        </w:rPr>
        <w:t xml:space="preserve"> </w:t>
      </w:r>
      <w:r w:rsidR="00F5676A">
        <w:t xml:space="preserve">procedure is displayed inside the </w:t>
      </w:r>
      <w:r w:rsidR="00724389">
        <w:t xml:space="preserve">diamond, as </w:t>
      </w:r>
      <w:r>
        <w:t xml:space="preserve">a </w:t>
      </w:r>
      <w:r w:rsidR="00724389">
        <w:t xml:space="preserve">square named </w:t>
      </w:r>
      <w:smartTag w:uri="urn:schemas-microsoft-com:office:smarttags" w:element="place">
        <w:r w:rsidR="00724389" w:rsidRPr="00724389">
          <w:rPr>
            <w:rStyle w:val="CodeChar"/>
          </w:rPr>
          <w:t>Loop</w:t>
        </w:r>
      </w:smartTag>
      <w:r w:rsidR="00724389">
        <w:t xml:space="preserve">. The </w:t>
      </w:r>
      <w:smartTag w:uri="urn:schemas-microsoft-com:office:smarttags" w:element="place">
        <w:r w:rsidR="00724389" w:rsidRPr="00F5676A">
          <w:rPr>
            <w:rStyle w:val="CodeChar"/>
          </w:rPr>
          <w:t>Loop</w:t>
        </w:r>
      </w:smartTag>
      <w:r w:rsidR="00724389" w:rsidRPr="00F5676A">
        <w:rPr>
          <w:rStyle w:val="CodeChar"/>
        </w:rPr>
        <w:t xml:space="preserve"> </w:t>
      </w:r>
      <w:r w:rsidR="00724389">
        <w:t xml:space="preserve">procedure is </w:t>
      </w:r>
      <w:r w:rsidR="00F5676A" w:rsidRPr="00F5676A">
        <w:rPr>
          <w:i/>
        </w:rPr>
        <w:t xml:space="preserve">defined </w:t>
      </w:r>
      <w:r w:rsidR="00724389">
        <w:t>outside the diamond</w:t>
      </w:r>
      <w:r w:rsidR="00F5676A">
        <w:t xml:space="preserve">. The </w:t>
      </w:r>
      <w:smartTag w:uri="urn:schemas-microsoft-com:office:smarttags" w:element="place">
        <w:r w:rsidR="00F5676A" w:rsidRPr="008A4A5E">
          <w:rPr>
            <w:rStyle w:val="CodeChar"/>
          </w:rPr>
          <w:t>Loop</w:t>
        </w:r>
      </w:smartTag>
      <w:r w:rsidR="00F5676A" w:rsidRPr="008A4A5E">
        <w:rPr>
          <w:rStyle w:val="CodeChar"/>
        </w:rPr>
        <w:t xml:space="preserve"> </w:t>
      </w:r>
      <w:r w:rsidR="00F5676A">
        <w:t>p</w:t>
      </w:r>
      <w:r>
        <w:t xml:space="preserve">arameter </w:t>
      </w:r>
      <w:r w:rsidR="00F5676A">
        <w:t xml:space="preserve">inside the diamond, points out of the diamond to </w:t>
      </w:r>
      <w:r w:rsidR="00724389">
        <w:t xml:space="preserve">the larger square </w:t>
      </w:r>
      <w:r w:rsidR="00F5676A">
        <w:t xml:space="preserve">just </w:t>
      </w:r>
      <w:r w:rsidR="00724389">
        <w:t>below the diamond</w:t>
      </w:r>
      <w:r w:rsidR="00F5676A">
        <w:t>, with the ellipsis in it</w:t>
      </w:r>
      <w:r w:rsidR="00B47665">
        <w:t>. The ellipsis stands for whatever you fill into it</w:t>
      </w:r>
      <w:r w:rsidR="00724389">
        <w:t>.</w:t>
      </w:r>
      <w:r w:rsidR="00F5676A">
        <w:t xml:space="preserve"> The larger square below the diamond defines the </w:t>
      </w:r>
      <w:r w:rsidR="002B500E">
        <w:t>command</w:t>
      </w:r>
      <w:r w:rsidR="00F5676A">
        <w:t xml:space="preserve"> that will run multiple times, once for each </w:t>
      </w:r>
      <w:r>
        <w:t>item in the collection</w:t>
      </w:r>
      <w:r w:rsidR="00F5676A">
        <w:t>. The circle inside the</w:t>
      </w:r>
      <w:r w:rsidR="00B47665">
        <w:t xml:space="preserve"> large</w:t>
      </w:r>
      <w:r w:rsidR="00F5676A">
        <w:t xml:space="preserve"> square is the </w:t>
      </w:r>
      <w:r>
        <w:rPr>
          <w:rStyle w:val="CodeChar"/>
        </w:rPr>
        <w:t xml:space="preserve">Item </w:t>
      </w:r>
      <w:r w:rsidR="00F5676A">
        <w:t xml:space="preserve">passed to the </w:t>
      </w:r>
      <w:smartTag w:uri="urn:schemas-microsoft-com:office:smarttags" w:element="place">
        <w:r w:rsidR="008A4A5E" w:rsidRPr="008A4A5E">
          <w:rPr>
            <w:rStyle w:val="CodeChar"/>
          </w:rPr>
          <w:t>L</w:t>
        </w:r>
        <w:r w:rsidR="00F5676A" w:rsidRPr="008A4A5E">
          <w:rPr>
            <w:rStyle w:val="CodeChar"/>
          </w:rPr>
          <w:t>oop</w:t>
        </w:r>
      </w:smartTag>
      <w:r w:rsidR="00F5676A" w:rsidRPr="008A4A5E">
        <w:rPr>
          <w:rStyle w:val="CodeChar"/>
        </w:rPr>
        <w:t xml:space="preserve"> </w:t>
      </w:r>
      <w:r w:rsidR="008A4A5E">
        <w:t>procedure</w:t>
      </w:r>
      <w:r w:rsidR="00F5676A">
        <w:t xml:space="preserve">. That circle is not tied to the </w:t>
      </w:r>
      <w:r>
        <w:rPr>
          <w:rStyle w:val="CodeChar"/>
        </w:rPr>
        <w:t xml:space="preserve">Item </w:t>
      </w:r>
      <w:r w:rsidR="00F5676A">
        <w:t xml:space="preserve">parameter inside the </w:t>
      </w:r>
      <w:r w:rsidR="00F5676A" w:rsidRPr="008A4A5E">
        <w:rPr>
          <w:rStyle w:val="CodeChar"/>
        </w:rPr>
        <w:t xml:space="preserve">For </w:t>
      </w:r>
      <w:r w:rsidR="00F5676A">
        <w:t xml:space="preserve">call, but it is implicitly </w:t>
      </w:r>
      <w:r w:rsidR="008A4A5E">
        <w:t>connected to it</w:t>
      </w:r>
      <w:r w:rsidR="00F5676A">
        <w:t>, because of th</w:t>
      </w:r>
      <w:r w:rsidR="008A4A5E">
        <w:t>e connection between the squares</w:t>
      </w:r>
      <w:r w:rsidR="00F5676A">
        <w:t xml:space="preserve"> </w:t>
      </w:r>
      <w:r w:rsidR="008A4A5E">
        <w:t xml:space="preserve">that contain the </w:t>
      </w:r>
      <w:r w:rsidR="00F5676A">
        <w:t>circles</w:t>
      </w:r>
      <w:r>
        <w:t>.</w:t>
      </w:r>
    </w:p>
    <w:p w:rsidR="00724389" w:rsidRDefault="005B1B55" w:rsidP="007751DE">
      <w:r>
        <w:t xml:space="preserve">(This is due to the rule of </w:t>
      </w:r>
      <w:r w:rsidRPr="008A4A5E">
        <w:rPr>
          <w:i/>
        </w:rPr>
        <w:t>implicit connection through parent</w:t>
      </w:r>
      <w:r>
        <w:rPr>
          <w:i/>
        </w:rPr>
        <w:t>.</w:t>
      </w:r>
      <w:r w:rsidRPr="00B47665">
        <w:t xml:space="preserve"> S</w:t>
      </w:r>
      <w:r w:rsidRPr="008A4A5E">
        <w:t>ee</w:t>
      </w:r>
      <w:r>
        <w:t xml:space="preserve"> the article </w:t>
      </w:r>
      <w:r w:rsidRPr="008A4A5E">
        <w:rPr>
          <w:i/>
        </w:rPr>
        <w:t>Automatic Containment</w:t>
      </w:r>
      <w:r w:rsidRPr="00B47665">
        <w:t>.</w:t>
      </w:r>
      <w:r>
        <w:t xml:space="preserve">) Officially, the two smaller circles explicitly have to be named </w:t>
      </w:r>
      <w:r w:rsidRPr="005B1B55">
        <w:rPr>
          <w:rStyle w:val="CodeChar"/>
        </w:rPr>
        <w:t xml:space="preserve">Item </w:t>
      </w:r>
      <w:r>
        <w:t xml:space="preserve">as well, to not confuse the circles with any other possible circles, that might be defined in the </w:t>
      </w:r>
      <w:smartTag w:uri="urn:schemas-microsoft-com:office:smarttags" w:element="place">
        <w:r>
          <w:t>Loop</w:t>
        </w:r>
      </w:smartTag>
      <w:r>
        <w:t>.</w:t>
      </w:r>
    </w:p>
    <w:p w:rsidR="008A4A5E" w:rsidRDefault="008A4A5E" w:rsidP="00FE28A8">
      <w:pPr>
        <w:pStyle w:val="Spacing"/>
      </w:pPr>
    </w:p>
    <w:p w:rsidR="0030704B" w:rsidRDefault="0030704B" w:rsidP="007751DE">
      <w:r>
        <w:t xml:space="preserve">In other loops, the </w:t>
      </w:r>
      <w:smartTag w:uri="urn:schemas-microsoft-com:office:smarttags" w:element="place">
        <w:r w:rsidRPr="0030704B">
          <w:rPr>
            <w:rStyle w:val="CodeChar"/>
          </w:rPr>
          <w:t>Loop</w:t>
        </w:r>
      </w:smartTag>
      <w:r w:rsidRPr="0030704B">
        <w:rPr>
          <w:rStyle w:val="CodeChar"/>
        </w:rPr>
        <w:t xml:space="preserve"> </w:t>
      </w:r>
      <w:r>
        <w:t xml:space="preserve">parameter was surrounded by an esteatic nonagon, but because the In parameter is already a nonagon, it is already obvious, that the </w:t>
      </w:r>
      <w:r w:rsidR="002B500E">
        <w:t>command</w:t>
      </w:r>
      <w:r>
        <w:t xml:space="preserve"> handles a collection, so a nonagon is not also placed around the </w:t>
      </w:r>
      <w:smartTag w:uri="urn:schemas-microsoft-com:office:smarttags" w:element="place">
        <w:r w:rsidRPr="0030704B">
          <w:rPr>
            <w:rStyle w:val="CodeChar"/>
          </w:rPr>
          <w:t>Loop</w:t>
        </w:r>
      </w:smartTag>
      <w:r w:rsidRPr="0030704B">
        <w:rPr>
          <w:rStyle w:val="CodeChar"/>
        </w:rPr>
        <w:t xml:space="preserve"> </w:t>
      </w:r>
      <w:r>
        <w:t>parameter.</w:t>
      </w:r>
    </w:p>
    <w:p w:rsidR="0030704B" w:rsidRDefault="0030704B" w:rsidP="0030704B">
      <w:pPr>
        <w:pStyle w:val="Spacing"/>
      </w:pPr>
    </w:p>
    <w:p w:rsidR="00FE28A8" w:rsidRDefault="00FE28A8" w:rsidP="007751DE">
      <w:r>
        <w:t xml:space="preserve">In the example above, </w:t>
      </w:r>
      <w:r w:rsidR="005B1B55">
        <w:t xml:space="preserve">the </w:t>
      </w:r>
      <w:r w:rsidR="005B1B55" w:rsidRPr="005B1B55">
        <w:rPr>
          <w:rStyle w:val="CodeChar"/>
        </w:rPr>
        <w:t xml:space="preserve">In </w:t>
      </w:r>
      <w:r w:rsidR="005B1B55">
        <w:t xml:space="preserve">collection and the </w:t>
      </w:r>
      <w:smartTag w:uri="urn:schemas-microsoft-com:office:smarttags" w:element="place">
        <w:r w:rsidR="005B1B55" w:rsidRPr="005B1B55">
          <w:rPr>
            <w:rStyle w:val="CodeChar"/>
          </w:rPr>
          <w:t>Loop</w:t>
        </w:r>
      </w:smartTag>
      <w:r w:rsidR="005B1B55" w:rsidRPr="005B1B55">
        <w:rPr>
          <w:rStyle w:val="CodeChar"/>
        </w:rPr>
        <w:t xml:space="preserve"> </w:t>
      </w:r>
      <w:r w:rsidR="005B1B55">
        <w:t>procedure reference were defined outside the diamond. They may as well have been defined right inside the diamond. The diagram above is just an example</w:t>
      </w:r>
    </w:p>
    <w:p w:rsidR="004779B5" w:rsidRDefault="004779B5" w:rsidP="004779B5">
      <w:pPr>
        <w:pStyle w:val="Spacing"/>
      </w:pPr>
    </w:p>
    <w:p w:rsidR="004779B5" w:rsidRDefault="004779B5" w:rsidP="004779B5">
      <w:r>
        <w:t xml:space="preserve">The </w:t>
      </w:r>
      <w:r w:rsidRPr="007D1858">
        <w:rPr>
          <w:i/>
        </w:rPr>
        <w:t xml:space="preserve">definition </w:t>
      </w:r>
      <w:r>
        <w:t xml:space="preserve">of the </w:t>
      </w:r>
      <w:r w:rsidR="00FE28A8">
        <w:rPr>
          <w:rStyle w:val="CodeChar"/>
        </w:rPr>
        <w:t>For</w:t>
      </w:r>
      <w:r w:rsidR="005B1B55">
        <w:rPr>
          <w:rStyle w:val="CodeChar"/>
        </w:rPr>
        <w:t xml:space="preserve"> Each</w:t>
      </w:r>
      <w:r w:rsidR="00FE28A8">
        <w:rPr>
          <w:rStyle w:val="CodeChar"/>
        </w:rPr>
        <w:t xml:space="preserve"> </w:t>
      </w:r>
      <w:r w:rsidR="00FE28A8">
        <w:t xml:space="preserve">execution control command </w:t>
      </w:r>
      <w:r>
        <w:t xml:space="preserve">is part of a system module </w:t>
      </w:r>
      <w:r w:rsidR="00FE28A8">
        <w:t xml:space="preserve">for </w:t>
      </w:r>
      <w:r>
        <w:t xml:space="preserve">execution control </w:t>
      </w:r>
      <w:r w:rsidR="00E51BF4">
        <w:t>commands</w:t>
      </w:r>
      <w:r>
        <w:t xml:space="preserve">. </w:t>
      </w:r>
      <w:r w:rsidR="00B8522A">
        <w:t>The public elements of the definition look</w:t>
      </w:r>
      <w:r>
        <w:t xml:space="preserve"> like this:</w:t>
      </w:r>
    </w:p>
    <w:p w:rsidR="004779B5" w:rsidRDefault="004779B5" w:rsidP="002C13B6">
      <w:pPr>
        <w:pStyle w:val="Spacing"/>
      </w:pPr>
    </w:p>
    <w:p w:rsidR="004779B5" w:rsidRDefault="00A04B34" w:rsidP="004779B5">
      <w:pPr>
        <w:ind w:left="852"/>
      </w:pPr>
      <w:r>
        <w:rPr>
          <w:noProof/>
        </w:rPr>
        <w:drawing>
          <wp:inline distT="0" distB="0" distL="0" distR="0">
            <wp:extent cx="1811655" cy="167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B5" w:rsidRDefault="004779B5" w:rsidP="00331548">
      <w:pPr>
        <w:pStyle w:val="Spacing"/>
      </w:pPr>
    </w:p>
    <w:p w:rsidR="002150DC" w:rsidRDefault="004779B5" w:rsidP="007751DE">
      <w:r>
        <w:t>Nothing is filled in yet as the</w:t>
      </w:r>
      <w:r w:rsidRPr="00EC4DCF">
        <w:rPr>
          <w:rStyle w:val="CodeChar"/>
        </w:rPr>
        <w:t xml:space="preserve"> </w:t>
      </w:r>
      <w:r w:rsidR="00EC4DCF" w:rsidRPr="00EC4DCF">
        <w:rPr>
          <w:rStyle w:val="CodeChar"/>
        </w:rPr>
        <w:t xml:space="preserve"> </w:t>
      </w:r>
      <w:r w:rsidR="002C13B6">
        <w:rPr>
          <w:rStyle w:val="CodeChar"/>
        </w:rPr>
        <w:t>In</w:t>
      </w:r>
      <w:r w:rsidR="002C13B6">
        <w:t xml:space="preserve">  collection or the </w:t>
      </w:r>
      <w:smartTag w:uri="urn:schemas-microsoft-com:office:smarttags" w:element="place">
        <w:r w:rsidR="002C13B6" w:rsidRPr="002C13B6">
          <w:rPr>
            <w:rStyle w:val="CodeChar"/>
          </w:rPr>
          <w:t>Loop</w:t>
        </w:r>
      </w:smartTag>
      <w:r w:rsidR="002C13B6" w:rsidRPr="002C13B6">
        <w:rPr>
          <w:rStyle w:val="CodeChar"/>
        </w:rPr>
        <w:t xml:space="preserve"> </w:t>
      </w:r>
      <w:r w:rsidR="002C13B6">
        <w:t xml:space="preserve">procedure reference. </w:t>
      </w:r>
      <w:r w:rsidR="00C4248E">
        <w:t>T</w:t>
      </w:r>
      <w:r w:rsidR="00EC4DCF">
        <w:t xml:space="preserve">he </w:t>
      </w:r>
      <w:r w:rsidR="002C13B6">
        <w:rPr>
          <w:rStyle w:val="CodeChar"/>
        </w:rPr>
        <w:t xml:space="preserve">Item </w:t>
      </w:r>
      <w:r w:rsidR="002C13B6">
        <w:t>parameter w</w:t>
      </w:r>
      <w:r w:rsidR="00EC4DCF">
        <w:t xml:space="preserve">ill be controlled by the </w:t>
      </w:r>
      <w:r w:rsidR="00EC4DCF" w:rsidRPr="00EC4DCF">
        <w:rPr>
          <w:rStyle w:val="CodeChar"/>
        </w:rPr>
        <w:t xml:space="preserve">For </w:t>
      </w:r>
      <w:r w:rsidR="00C4248E">
        <w:t>command. I</w:t>
      </w:r>
      <w:r w:rsidR="00EC4DCF">
        <w:t xml:space="preserve">t is referenced from the </w:t>
      </w:r>
      <w:smartTag w:uri="urn:schemas-microsoft-com:office:smarttags" w:element="place">
        <w:r w:rsidR="00EC4DCF" w:rsidRPr="00EC4DCF">
          <w:rPr>
            <w:rStyle w:val="CodeChar"/>
          </w:rPr>
          <w:t>Loop</w:t>
        </w:r>
      </w:smartTag>
      <w:r w:rsidR="00EC4DCF" w:rsidRPr="00EC4DCF">
        <w:rPr>
          <w:rStyle w:val="CodeChar"/>
        </w:rPr>
        <w:t xml:space="preserve"> </w:t>
      </w:r>
      <w:r w:rsidR="00C4248E">
        <w:t>procedure.</w:t>
      </w:r>
    </w:p>
    <w:sectPr w:rsidR="00215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5D08"/>
    <w:rsid w:val="00052862"/>
    <w:rsid w:val="00053E87"/>
    <w:rsid w:val="00064403"/>
    <w:rsid w:val="000A7E16"/>
    <w:rsid w:val="000C1FEA"/>
    <w:rsid w:val="000C7D9D"/>
    <w:rsid w:val="000D7022"/>
    <w:rsid w:val="000F652F"/>
    <w:rsid w:val="000F6824"/>
    <w:rsid w:val="00166C56"/>
    <w:rsid w:val="00175EE4"/>
    <w:rsid w:val="00177197"/>
    <w:rsid w:val="001B7346"/>
    <w:rsid w:val="002150DC"/>
    <w:rsid w:val="0027394B"/>
    <w:rsid w:val="00276FF0"/>
    <w:rsid w:val="00295487"/>
    <w:rsid w:val="002B500E"/>
    <w:rsid w:val="002C13B6"/>
    <w:rsid w:val="002C166C"/>
    <w:rsid w:val="0030704B"/>
    <w:rsid w:val="00307726"/>
    <w:rsid w:val="00311845"/>
    <w:rsid w:val="00320B02"/>
    <w:rsid w:val="0032466D"/>
    <w:rsid w:val="00326B2D"/>
    <w:rsid w:val="003271FC"/>
    <w:rsid w:val="00331548"/>
    <w:rsid w:val="003B0D0B"/>
    <w:rsid w:val="0041620C"/>
    <w:rsid w:val="004348B0"/>
    <w:rsid w:val="00437303"/>
    <w:rsid w:val="004779B5"/>
    <w:rsid w:val="004C3C5B"/>
    <w:rsid w:val="004D4169"/>
    <w:rsid w:val="004F24AF"/>
    <w:rsid w:val="00515523"/>
    <w:rsid w:val="00532D2F"/>
    <w:rsid w:val="005369DC"/>
    <w:rsid w:val="00570F17"/>
    <w:rsid w:val="00571582"/>
    <w:rsid w:val="00574711"/>
    <w:rsid w:val="0059022D"/>
    <w:rsid w:val="005A1878"/>
    <w:rsid w:val="005B0C73"/>
    <w:rsid w:val="005B1B55"/>
    <w:rsid w:val="00602138"/>
    <w:rsid w:val="006749D4"/>
    <w:rsid w:val="006876A4"/>
    <w:rsid w:val="006B64D3"/>
    <w:rsid w:val="006F2631"/>
    <w:rsid w:val="00724389"/>
    <w:rsid w:val="007442B6"/>
    <w:rsid w:val="007751DE"/>
    <w:rsid w:val="007B7D1D"/>
    <w:rsid w:val="007D1858"/>
    <w:rsid w:val="007E7FC4"/>
    <w:rsid w:val="007F32B8"/>
    <w:rsid w:val="00831332"/>
    <w:rsid w:val="00840264"/>
    <w:rsid w:val="00846B80"/>
    <w:rsid w:val="008A4A5E"/>
    <w:rsid w:val="008C6D6B"/>
    <w:rsid w:val="008F228C"/>
    <w:rsid w:val="00916207"/>
    <w:rsid w:val="00916A8F"/>
    <w:rsid w:val="00954D31"/>
    <w:rsid w:val="009A1E2B"/>
    <w:rsid w:val="009C617F"/>
    <w:rsid w:val="009F2C47"/>
    <w:rsid w:val="00A04B34"/>
    <w:rsid w:val="00A37A6A"/>
    <w:rsid w:val="00A531F0"/>
    <w:rsid w:val="00A7668C"/>
    <w:rsid w:val="00AA0A55"/>
    <w:rsid w:val="00AB0D11"/>
    <w:rsid w:val="00AC64AE"/>
    <w:rsid w:val="00AD0AD9"/>
    <w:rsid w:val="00AF37C9"/>
    <w:rsid w:val="00B25223"/>
    <w:rsid w:val="00B47665"/>
    <w:rsid w:val="00B633F4"/>
    <w:rsid w:val="00B8522A"/>
    <w:rsid w:val="00BF0D7A"/>
    <w:rsid w:val="00C057FC"/>
    <w:rsid w:val="00C4248E"/>
    <w:rsid w:val="00C53AB4"/>
    <w:rsid w:val="00C82778"/>
    <w:rsid w:val="00D06B66"/>
    <w:rsid w:val="00D1799B"/>
    <w:rsid w:val="00D525B8"/>
    <w:rsid w:val="00D91060"/>
    <w:rsid w:val="00DA1F0F"/>
    <w:rsid w:val="00DC1C56"/>
    <w:rsid w:val="00DF5BE0"/>
    <w:rsid w:val="00E51BF4"/>
    <w:rsid w:val="00E528EE"/>
    <w:rsid w:val="00E8670E"/>
    <w:rsid w:val="00EC4DCF"/>
    <w:rsid w:val="00EF2C1B"/>
    <w:rsid w:val="00F02CB5"/>
    <w:rsid w:val="00F11FDE"/>
    <w:rsid w:val="00F5676A"/>
    <w:rsid w:val="00F7010E"/>
    <w:rsid w:val="00F80C01"/>
    <w:rsid w:val="00F9445A"/>
    <w:rsid w:val="00FE28A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03F84C-59E3-405E-8411-521F331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