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43656" w:rsidTr="00C846C1">
        <w:tc>
          <w:tcPr>
            <w:tcW w:w="5000" w:type="pct"/>
            <w:shd w:val="clear" w:color="auto" w:fill="3366FF"/>
          </w:tcPr>
          <w:p w:rsidR="003271FC" w:rsidRPr="008C33D2" w:rsidRDefault="00C846C1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E1681A" w:rsidP="003271FC">
      <w:pPr>
        <w:pStyle w:val="Heading2"/>
      </w:pPr>
      <w:r>
        <w:t xml:space="preserve">Until </w:t>
      </w:r>
      <w:r w:rsidR="00D1799B">
        <w:t>in a Diagram</w:t>
      </w:r>
    </w:p>
    <w:p w:rsidR="00C53AB4" w:rsidRDefault="00C53AB4" w:rsidP="00C53AB4">
      <w:r>
        <w:t xml:space="preserve">The concept of the </w:t>
      </w:r>
      <w:r w:rsidR="00ED0736">
        <w:rPr>
          <w:rStyle w:val="CodeChar"/>
        </w:rPr>
        <w:t>Until</w:t>
      </w:r>
      <w:r w:rsidR="00831332">
        <w:rPr>
          <w:rStyle w:val="CodeChar"/>
        </w:rPr>
        <w:t xml:space="preserve"> </w:t>
      </w:r>
      <w:r w:rsidR="0026394D">
        <w:t xml:space="preserve">loop </w:t>
      </w:r>
      <w:r>
        <w:t xml:space="preserve">is already covered </w:t>
      </w:r>
      <w:r w:rsidR="00A7668C">
        <w:t>by</w:t>
      </w:r>
      <w:r>
        <w:t xml:space="preserve"> the article </w:t>
      </w:r>
      <w:r w:rsidR="00ED0736">
        <w:rPr>
          <w:i/>
        </w:rPr>
        <w:t>Until</w:t>
      </w:r>
      <w:r>
        <w:t>. This article only explains its expression in a diagram.</w:t>
      </w:r>
    </w:p>
    <w:p w:rsidR="000F6824" w:rsidRDefault="000F6824" w:rsidP="00326B2D">
      <w:pPr>
        <w:pStyle w:val="Spacing"/>
      </w:pPr>
    </w:p>
    <w:p w:rsidR="0027394B" w:rsidRDefault="00326B2D" w:rsidP="00E8670E">
      <w:r>
        <w:t xml:space="preserve">Below is an example of the diagrammatic expression of a </w:t>
      </w:r>
      <w:r w:rsidR="00ED0736">
        <w:rPr>
          <w:rStyle w:val="CodeChar"/>
        </w:rPr>
        <w:t xml:space="preserve">Until </w:t>
      </w:r>
      <w:r w:rsidR="0026394D">
        <w:t>loop</w:t>
      </w:r>
      <w:r>
        <w:t>.</w:t>
      </w:r>
    </w:p>
    <w:p w:rsidR="007751DE" w:rsidRDefault="007751DE" w:rsidP="00ED0736">
      <w:pPr>
        <w:pStyle w:val="Spacing"/>
      </w:pPr>
    </w:p>
    <w:p w:rsidR="007751DE" w:rsidRDefault="00280570" w:rsidP="007751DE">
      <w:pPr>
        <w:ind w:left="852"/>
      </w:pPr>
      <w:r>
        <w:rPr>
          <w:noProof/>
        </w:rPr>
        <w:drawing>
          <wp:inline distT="0" distB="0" distL="0" distR="0">
            <wp:extent cx="118618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ED0736">
      <w:pPr>
        <w:pStyle w:val="Spacing"/>
      </w:pPr>
    </w:p>
    <w:p w:rsidR="005B1B55" w:rsidRDefault="007751DE" w:rsidP="007751DE">
      <w:r>
        <w:t xml:space="preserve">The diamond is a call to the </w:t>
      </w:r>
      <w:r w:rsidR="00ED0736">
        <w:rPr>
          <w:rStyle w:val="CodeChar"/>
        </w:rPr>
        <w:t xml:space="preserve">Until </w:t>
      </w:r>
      <w:r w:rsidR="00724389">
        <w:t>command.</w:t>
      </w:r>
      <w:r w:rsidR="005B1B55">
        <w:t xml:space="preserve"> There is a </w:t>
      </w:r>
      <w:r w:rsidR="00B16D6F">
        <w:t xml:space="preserve">circle inside the diamond, that represents the </w:t>
      </w:r>
      <w:r w:rsidR="00B16D6F" w:rsidRPr="00B16D6F">
        <w:rPr>
          <w:rStyle w:val="CodeChar"/>
        </w:rPr>
        <w:t>Boolean</w:t>
      </w:r>
      <w:r w:rsidR="00B16D6F">
        <w:t xml:space="preserve"> </w:t>
      </w:r>
      <w:r w:rsidR="00B16D6F" w:rsidRPr="00B16D6F">
        <w:rPr>
          <w:rStyle w:val="CodeChar"/>
        </w:rPr>
        <w:t>Condition</w:t>
      </w:r>
      <w:r w:rsidR="00B16D6F">
        <w:t xml:space="preserve">. </w:t>
      </w:r>
      <w:r w:rsidR="00E16CD1">
        <w:t xml:space="preserve">The name </w:t>
      </w:r>
      <w:r w:rsidR="00E16CD1" w:rsidRPr="00E16CD1">
        <w:rPr>
          <w:rStyle w:val="CodeChar"/>
        </w:rPr>
        <w:t xml:space="preserve">Condition </w:t>
      </w:r>
      <w:r w:rsidR="00E16CD1">
        <w:t xml:space="preserve">is not shown with the circle, because it is the only circle there and it looks so obvious that it is the condition. </w:t>
      </w:r>
      <w:r w:rsidR="00B16D6F">
        <w:t xml:space="preserve">The circle inside the diamond points to another circle outside the diamond, indicating that the </w:t>
      </w:r>
      <w:r w:rsidR="00B16D6F" w:rsidRPr="00B16D6F">
        <w:rPr>
          <w:rStyle w:val="CodeChar"/>
        </w:rPr>
        <w:t xml:space="preserve">Boolean </w:t>
      </w:r>
      <w:r w:rsidR="00B16D6F">
        <w:t xml:space="preserve">is defined outside the call to the </w:t>
      </w:r>
      <w:r w:rsidR="00ED0736">
        <w:rPr>
          <w:rStyle w:val="CodeChar"/>
        </w:rPr>
        <w:t xml:space="preserve">Until </w:t>
      </w:r>
      <w:r w:rsidR="00B16D6F">
        <w:t xml:space="preserve">statement. The diamond also contains a square called </w:t>
      </w:r>
      <w:smartTag w:uri="urn:schemas-microsoft-com:office:smarttags" w:element="place">
        <w:r w:rsidR="00B16D6F" w:rsidRPr="00B16D6F">
          <w:rPr>
            <w:rStyle w:val="CodeChar"/>
          </w:rPr>
          <w:t>Loop</w:t>
        </w:r>
      </w:smartTag>
      <w:r w:rsidR="00B16D6F">
        <w:t xml:space="preserve">, which is </w:t>
      </w:r>
      <w:r w:rsidR="00ED0736">
        <w:t>a refer</w:t>
      </w:r>
      <w:r w:rsidR="002E4C7F">
        <w:t>e</w:t>
      </w:r>
      <w:r w:rsidR="00ED0736">
        <w:t xml:space="preserve">nce to the </w:t>
      </w:r>
      <w:r w:rsidR="002E4C7F">
        <w:t>command</w:t>
      </w:r>
      <w:r w:rsidR="00B16D6F">
        <w:t xml:space="preserve">, that will be run as long as the condition is </w:t>
      </w:r>
      <w:r w:rsidR="00ED0736">
        <w:rPr>
          <w:rStyle w:val="CodeChar"/>
        </w:rPr>
        <w:t>False</w:t>
      </w:r>
      <w:r w:rsidR="00B16D6F">
        <w:t xml:space="preserve">. The </w:t>
      </w:r>
      <w:smartTag w:uri="urn:schemas-microsoft-com:office:smarttags" w:element="place">
        <w:r w:rsidR="00B16D6F" w:rsidRPr="00B16D6F">
          <w:rPr>
            <w:rStyle w:val="CodeChar"/>
          </w:rPr>
          <w:t>Loop</w:t>
        </w:r>
      </w:smartTag>
      <w:r w:rsidR="00B16D6F" w:rsidRPr="00B16D6F">
        <w:rPr>
          <w:rStyle w:val="CodeChar"/>
        </w:rPr>
        <w:t xml:space="preserve"> </w:t>
      </w:r>
      <w:r w:rsidR="002E4C7F">
        <w:t>command</w:t>
      </w:r>
      <w:r w:rsidR="00B16D6F">
        <w:t xml:space="preserve"> reference points out of the diamond to a </w:t>
      </w:r>
      <w:r w:rsidR="002E4C7F">
        <w:t>command</w:t>
      </w:r>
      <w:r w:rsidR="00B16D6F">
        <w:t xml:space="preserve"> defined outside the call to the </w:t>
      </w:r>
      <w:r w:rsidR="00B16D6F" w:rsidRPr="00B16D6F">
        <w:rPr>
          <w:rStyle w:val="CodeChar"/>
        </w:rPr>
        <w:t xml:space="preserve">While </w:t>
      </w:r>
      <w:r w:rsidR="00B16D6F">
        <w:t>statement.</w:t>
      </w:r>
    </w:p>
    <w:p w:rsidR="00336BE6" w:rsidRDefault="00336BE6" w:rsidP="00336BE6">
      <w:pPr>
        <w:pStyle w:val="Spacing"/>
      </w:pPr>
    </w:p>
    <w:p w:rsidR="00336BE6" w:rsidRDefault="00336BE6" w:rsidP="00336BE6">
      <w:r>
        <w:t xml:space="preserve">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 xml:space="preserve">parameter is placed inside a nonagon purely for esteatic reasons. It is a single reference to a </w:t>
      </w:r>
      <w:r w:rsidR="002E4C7F">
        <w:t>command</w:t>
      </w:r>
      <w:r>
        <w:t xml:space="preserve">, and the nonagon will never contain multiple references to </w:t>
      </w:r>
      <w:r w:rsidR="002E4C7F">
        <w:t>command</w:t>
      </w:r>
      <w:r>
        <w:t xml:space="preserve">s, but it is obvious the </w:t>
      </w:r>
      <w:r w:rsidR="002E4C7F">
        <w:t>command</w:t>
      </w:r>
      <w:r>
        <w:t xml:space="preserve"> in it will be run multiple times. The nonagon stands for multiple, so it is put around 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>parameter, but it will always contain a single item and you cannot add any more items to it.</w:t>
      </w:r>
    </w:p>
    <w:p w:rsidR="008A4A5E" w:rsidRDefault="008A4A5E" w:rsidP="00B16D6F">
      <w:pPr>
        <w:pStyle w:val="Spacing"/>
      </w:pPr>
    </w:p>
    <w:p w:rsidR="00FE28A8" w:rsidRDefault="00FE28A8" w:rsidP="007751DE">
      <w:r>
        <w:t xml:space="preserve">In the example above, </w:t>
      </w:r>
      <w:r w:rsidR="005B1B55">
        <w:t>the</w:t>
      </w:r>
      <w:r w:rsidR="00B16D6F">
        <w:t xml:space="preserve"> </w:t>
      </w:r>
      <w:r w:rsidR="00B16D6F" w:rsidRPr="00B16D6F">
        <w:rPr>
          <w:rStyle w:val="CodeChar"/>
        </w:rPr>
        <w:t>Condition</w:t>
      </w:r>
      <w:r w:rsidR="00B16D6F" w:rsidRPr="00B16D6F">
        <w:t xml:space="preserve"> and </w:t>
      </w:r>
      <w:r w:rsidR="005B1B55">
        <w:t xml:space="preserve">the </w:t>
      </w:r>
      <w:smartTag w:uri="urn:schemas-microsoft-com:office:smarttags" w:element="place">
        <w:r w:rsidR="005B1B55" w:rsidRPr="005B1B55">
          <w:rPr>
            <w:rStyle w:val="CodeChar"/>
          </w:rPr>
          <w:t>Loop</w:t>
        </w:r>
      </w:smartTag>
      <w:r w:rsidR="005B1B55" w:rsidRPr="005B1B55">
        <w:rPr>
          <w:rStyle w:val="CodeChar"/>
        </w:rPr>
        <w:t xml:space="preserve"> </w:t>
      </w:r>
      <w:r w:rsidR="005B1B55">
        <w:t>procedure reference were defined outside the diamond. They may as well have been defined right inside the diamond. The diagram above is just an example</w:t>
      </w:r>
      <w:r w:rsidR="00B16D6F">
        <w:t>.</w:t>
      </w:r>
    </w:p>
    <w:p w:rsidR="004779B5" w:rsidRDefault="004779B5" w:rsidP="004779B5">
      <w:pPr>
        <w:pStyle w:val="Spacing"/>
      </w:pPr>
    </w:p>
    <w:p w:rsidR="004779B5" w:rsidRDefault="004779B5" w:rsidP="004779B5">
      <w:r>
        <w:t xml:space="preserve">The </w:t>
      </w:r>
      <w:r w:rsidRPr="007D1858">
        <w:rPr>
          <w:i/>
        </w:rPr>
        <w:t xml:space="preserve">definition </w:t>
      </w:r>
      <w:r>
        <w:t xml:space="preserve">of the </w:t>
      </w:r>
      <w:r w:rsidR="00ED0736">
        <w:rPr>
          <w:rStyle w:val="CodeChar"/>
        </w:rPr>
        <w:t xml:space="preserve">Until </w:t>
      </w:r>
      <w:r w:rsidR="00FE28A8">
        <w:t xml:space="preserve">execution control command </w:t>
      </w:r>
      <w:r>
        <w:t xml:space="preserve">is part of a system module </w:t>
      </w:r>
      <w:r w:rsidR="00FE28A8">
        <w:t xml:space="preserve">for </w:t>
      </w:r>
      <w:r>
        <w:t xml:space="preserve">execution control </w:t>
      </w:r>
      <w:r w:rsidR="00E51BF4">
        <w:t>commands</w:t>
      </w:r>
      <w:r>
        <w:t xml:space="preserve">. </w:t>
      </w:r>
      <w:r w:rsidR="00B8522A">
        <w:t>The public elements of the definition look</w:t>
      </w:r>
      <w:r>
        <w:t xml:space="preserve"> like this:</w:t>
      </w:r>
    </w:p>
    <w:p w:rsidR="004779B5" w:rsidRDefault="004779B5" w:rsidP="002C13B6">
      <w:pPr>
        <w:pStyle w:val="Spacing"/>
      </w:pPr>
    </w:p>
    <w:p w:rsidR="004779B5" w:rsidRDefault="00280570" w:rsidP="004779B5">
      <w:pPr>
        <w:ind w:left="852"/>
      </w:pPr>
      <w:r>
        <w:rPr>
          <w:noProof/>
        </w:rPr>
        <w:drawing>
          <wp:inline distT="0" distB="0" distL="0" distR="0">
            <wp:extent cx="1423670" cy="137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B5" w:rsidRDefault="004779B5" w:rsidP="00331548">
      <w:pPr>
        <w:pStyle w:val="Spacing"/>
      </w:pPr>
    </w:p>
    <w:p w:rsidR="002150DC" w:rsidRDefault="004779B5" w:rsidP="007751DE">
      <w:r>
        <w:t>Nothing is filled in yet as the</w:t>
      </w:r>
      <w:r w:rsidRPr="00E16CD1">
        <w:rPr>
          <w:rStyle w:val="CodeChar"/>
        </w:rPr>
        <w:t xml:space="preserve"> </w:t>
      </w:r>
      <w:r w:rsidR="00E16CD1" w:rsidRPr="00E16CD1">
        <w:rPr>
          <w:rStyle w:val="CodeChar"/>
        </w:rPr>
        <w:t xml:space="preserve"> Condition  </w:t>
      </w:r>
      <w:r w:rsidR="002C13B6">
        <w:t>or the</w:t>
      </w:r>
      <w:r w:rsidR="002C13B6" w:rsidRPr="00ED0736">
        <w:rPr>
          <w:rStyle w:val="CodeChar"/>
        </w:rPr>
        <w:t xml:space="preserve"> </w:t>
      </w:r>
      <w:r w:rsidR="00ED0736" w:rsidRPr="00ED0736">
        <w:rPr>
          <w:rStyle w:val="CodeChar"/>
        </w:rPr>
        <w:t xml:space="preserve"> </w:t>
      </w:r>
      <w:smartTag w:uri="urn:schemas-microsoft-com:office:smarttags" w:element="place">
        <w:r w:rsidR="002C13B6" w:rsidRPr="00ED0736">
          <w:rPr>
            <w:rStyle w:val="CodeChar"/>
          </w:rPr>
          <w:t>Loop</w:t>
        </w:r>
      </w:smartTag>
      <w:r w:rsidR="002C13B6" w:rsidRPr="00ED0736">
        <w:rPr>
          <w:rStyle w:val="CodeChar"/>
        </w:rPr>
        <w:t xml:space="preserve"> </w:t>
      </w:r>
      <w:r w:rsidR="00ED0736" w:rsidRPr="00ED0736">
        <w:rPr>
          <w:rStyle w:val="CodeChar"/>
        </w:rPr>
        <w:t xml:space="preserve"> </w:t>
      </w:r>
      <w:r w:rsidR="002C13B6">
        <w:t>procedure reference.</w:t>
      </w:r>
    </w:p>
    <w:sectPr w:rsidR="00215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0ECE"/>
    <w:rsid w:val="00045D08"/>
    <w:rsid w:val="00052862"/>
    <w:rsid w:val="00053E87"/>
    <w:rsid w:val="00064403"/>
    <w:rsid w:val="000C1FEA"/>
    <w:rsid w:val="000C7D9D"/>
    <w:rsid w:val="000D7022"/>
    <w:rsid w:val="000F652F"/>
    <w:rsid w:val="000F6824"/>
    <w:rsid w:val="00166C56"/>
    <w:rsid w:val="00175EE4"/>
    <w:rsid w:val="00177197"/>
    <w:rsid w:val="001B7346"/>
    <w:rsid w:val="002150DC"/>
    <w:rsid w:val="0026394D"/>
    <w:rsid w:val="0027394B"/>
    <w:rsid w:val="00276FF0"/>
    <w:rsid w:val="00280570"/>
    <w:rsid w:val="002C13B6"/>
    <w:rsid w:val="002C166C"/>
    <w:rsid w:val="002E4C7F"/>
    <w:rsid w:val="00307726"/>
    <w:rsid w:val="00311845"/>
    <w:rsid w:val="00320B02"/>
    <w:rsid w:val="0032466D"/>
    <w:rsid w:val="00326B2D"/>
    <w:rsid w:val="003271FC"/>
    <w:rsid w:val="00331548"/>
    <w:rsid w:val="00336BE6"/>
    <w:rsid w:val="00376E85"/>
    <w:rsid w:val="003B0D0B"/>
    <w:rsid w:val="0041620C"/>
    <w:rsid w:val="004230A3"/>
    <w:rsid w:val="004348B0"/>
    <w:rsid w:val="00437303"/>
    <w:rsid w:val="004779B5"/>
    <w:rsid w:val="004D4169"/>
    <w:rsid w:val="004F24AF"/>
    <w:rsid w:val="00515523"/>
    <w:rsid w:val="00532D2F"/>
    <w:rsid w:val="005369DC"/>
    <w:rsid w:val="00570F17"/>
    <w:rsid w:val="00571582"/>
    <w:rsid w:val="00574711"/>
    <w:rsid w:val="0059022D"/>
    <w:rsid w:val="005A1878"/>
    <w:rsid w:val="005B0C73"/>
    <w:rsid w:val="005B1B55"/>
    <w:rsid w:val="00602138"/>
    <w:rsid w:val="006749D4"/>
    <w:rsid w:val="006876A4"/>
    <w:rsid w:val="006B64D3"/>
    <w:rsid w:val="006F2631"/>
    <w:rsid w:val="00724389"/>
    <w:rsid w:val="007442B6"/>
    <w:rsid w:val="007751DE"/>
    <w:rsid w:val="007B7D1D"/>
    <w:rsid w:val="007D1858"/>
    <w:rsid w:val="007E7FC4"/>
    <w:rsid w:val="00831332"/>
    <w:rsid w:val="00840264"/>
    <w:rsid w:val="00846B80"/>
    <w:rsid w:val="008A4A5E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43656"/>
    <w:rsid w:val="00A531F0"/>
    <w:rsid w:val="00A7668C"/>
    <w:rsid w:val="00AA0A55"/>
    <w:rsid w:val="00AC64AE"/>
    <w:rsid w:val="00AD0AD9"/>
    <w:rsid w:val="00AF37C9"/>
    <w:rsid w:val="00B16D6F"/>
    <w:rsid w:val="00B25223"/>
    <w:rsid w:val="00B47665"/>
    <w:rsid w:val="00B633F4"/>
    <w:rsid w:val="00B8522A"/>
    <w:rsid w:val="00BF0D7A"/>
    <w:rsid w:val="00C057FC"/>
    <w:rsid w:val="00C4248E"/>
    <w:rsid w:val="00C436C9"/>
    <w:rsid w:val="00C53AB4"/>
    <w:rsid w:val="00C82778"/>
    <w:rsid w:val="00C846C1"/>
    <w:rsid w:val="00D06B66"/>
    <w:rsid w:val="00D1799B"/>
    <w:rsid w:val="00D91060"/>
    <w:rsid w:val="00DA1F0F"/>
    <w:rsid w:val="00DC1C56"/>
    <w:rsid w:val="00DE5BA8"/>
    <w:rsid w:val="00DF5BE0"/>
    <w:rsid w:val="00E1681A"/>
    <w:rsid w:val="00E16CD1"/>
    <w:rsid w:val="00E51BF4"/>
    <w:rsid w:val="00E528EE"/>
    <w:rsid w:val="00E8670E"/>
    <w:rsid w:val="00EC4DCF"/>
    <w:rsid w:val="00ED0736"/>
    <w:rsid w:val="00EF2C1B"/>
    <w:rsid w:val="00F02CB5"/>
    <w:rsid w:val="00F11FDE"/>
    <w:rsid w:val="00F5676A"/>
    <w:rsid w:val="00F7010E"/>
    <w:rsid w:val="00F7714F"/>
    <w:rsid w:val="00F80C01"/>
    <w:rsid w:val="00F9445A"/>
    <w:rsid w:val="00FE28A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D7A46A-B501-49A3-8EAE-9CB550C9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