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60B35" w:rsidTr="004C4EBD">
        <w:tc>
          <w:tcPr>
            <w:tcW w:w="5000" w:type="pct"/>
            <w:shd w:val="clear" w:color="auto" w:fill="3366FF"/>
          </w:tcPr>
          <w:p w:rsidR="003271FC" w:rsidRPr="008C33D2" w:rsidRDefault="004C4EBD" w:rsidP="00F7010E">
            <w:pPr>
              <w:pStyle w:val="Heading1"/>
            </w:pPr>
            <w:bookmarkStart w:id="0" w:name="_GoBack"/>
            <w:bookmarkEnd w:id="0"/>
            <w:r>
              <w:t>Circle Language Spec: Black Boxes</w:t>
            </w:r>
          </w:p>
        </w:tc>
      </w:tr>
    </w:tbl>
    <w:p w:rsidR="000F652F" w:rsidRDefault="00BD3BA9" w:rsidP="003271FC">
      <w:pPr>
        <w:pStyle w:val="Heading2"/>
      </w:pPr>
      <w:r>
        <w:t>Object-Bound, Reference-Bound &amp; Access Control</w:t>
      </w:r>
    </w:p>
    <w:p w:rsidR="00BD3BA9" w:rsidRDefault="00BD3BA9" w:rsidP="00BD3BA9">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rsidR="00BD3BA9" w:rsidRDefault="00BD3BA9" w:rsidP="00FA7BA9">
      <w:pPr>
        <w:pStyle w:val="Heading4"/>
      </w:pPr>
      <w:r>
        <w:t>Key Example: Value Get</w:t>
      </w:r>
    </w:p>
    <w:p w:rsidR="00BD3BA9" w:rsidRDefault="00BD3BA9" w:rsidP="00BD3BA9">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rsidR="00BD3BA9" w:rsidRDefault="00BD3BA9" w:rsidP="00BD3BA9">
      <w:pPr>
        <w:pStyle w:val="Spacing"/>
      </w:pPr>
    </w:p>
    <w:p w:rsidR="00BD3BA9" w:rsidRDefault="00BD3BA9" w:rsidP="00BD3BA9">
      <w:r>
        <w:t>Reference-related aspects only count for a single reference and not for the whole object, and can be freely overridden by another reference. Object-bound aspects count for all references and can not be overridden by another reference.</w:t>
      </w:r>
    </w:p>
    <w:p w:rsidR="00BD3BA9" w:rsidRDefault="00BD3BA9" w:rsidP="00BD3BA9">
      <w:pPr>
        <w:pStyle w:val="Spacing"/>
      </w:pPr>
    </w:p>
    <w:p w:rsidR="00BD3BA9" w:rsidRDefault="00BD3BA9" w:rsidP="00BD3BA9">
      <w:r>
        <w:t>By binding some aspects to the object and some aspects to a reference, each aspect can be safely access controlled without any loop-holes through other references.</w:t>
      </w:r>
    </w:p>
    <w:p w:rsidR="00BD3BA9" w:rsidRDefault="00BD3BA9" w:rsidP="00FA7BA9">
      <w:pPr>
        <w:pStyle w:val="Heading4"/>
      </w:pPr>
      <w:r>
        <w:t>Another Example: Use As Class</w:t>
      </w:r>
    </w:p>
    <w:p w:rsidR="00BD3BA9" w:rsidRDefault="00BD3BA9" w:rsidP="00BD3BA9">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rsidR="00BD3BA9" w:rsidRDefault="00BD3BA9" w:rsidP="00FA7BA9">
      <w:pPr>
        <w:pStyle w:val="Heading4"/>
      </w:pPr>
      <w:r>
        <w:t>Object-Bound Access Control</w:t>
      </w:r>
    </w:p>
    <w:p w:rsidR="00BD3BA9" w:rsidRDefault="00BD3BA9" w:rsidP="00BD3BA9">
      <w:r>
        <w:t>Object-bound access control is visible through each reference and can be controlled through each reference, but object-bound aspects always apply to the whole object.</w:t>
      </w:r>
    </w:p>
    <w:p w:rsidR="00BD3BA9" w:rsidRDefault="00BD3BA9" w:rsidP="00BD3BA9">
      <w:pPr>
        <w:pStyle w:val="Spacing"/>
      </w:pPr>
    </w:p>
    <w:p w:rsidR="00BD3BA9" w:rsidRDefault="00BD3BA9" w:rsidP="00BD3BA9">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rsidR="00BD3BA9" w:rsidRDefault="00BD3BA9" w:rsidP="00FA7BA9">
      <w:pPr>
        <w:pStyle w:val="Heading4"/>
      </w:pPr>
      <w:r>
        <w:t>Reference can Access Control Object-Bound</w:t>
      </w:r>
    </w:p>
    <w:p w:rsidR="00BD3BA9" w:rsidRDefault="00BD3BA9" w:rsidP="00BD3BA9">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rsidR="00BD3BA9" w:rsidRDefault="00BD3BA9" w:rsidP="00FA7BA9">
      <w:pPr>
        <w:pStyle w:val="Heading4"/>
      </w:pPr>
      <w:r>
        <w:t>Object has Access to its Privates</w:t>
      </w:r>
    </w:p>
    <w:p w:rsidR="00BD3BA9" w:rsidRPr="00332A88" w:rsidRDefault="00BD3BA9" w:rsidP="00BD3BA9">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rsidR="00BD3BA9" w:rsidRDefault="00BD3BA9" w:rsidP="00BD3BA9">
      <w:r>
        <w:t>(But compared to the traditional approach: when an object has a command (a method), the command must be made friend in order to access the privates of the object.)</w:t>
      </w:r>
    </w:p>
    <w:sectPr w:rsidR="00BD3B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0C72"/>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4EBD"/>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0B3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2ED"/>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B6AEFC3-893A-4158-B238-56F2AA62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3E4302"/>
    <w:pPr>
      <w:spacing w:before="240" w:after="180"/>
      <w:outlineLvl w:val="4"/>
    </w:pPr>
    <w:rPr>
      <w:b/>
      <w:bCs/>
      <w:i/>
      <w:iCs/>
      <w:sz w:val="18"/>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2020-05-20T20:51:00Z</dcterms:created>
  <dcterms:modified xsi:type="dcterms:W3CDTF">2020-05-20T20:51:00Z</dcterms:modified>
</cp:coreProperties>
</file>