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B3B2A" w:rsidTr="00DE7DBB">
        <w:tc>
          <w:tcPr>
            <w:tcW w:w="5000" w:type="pct"/>
            <w:shd w:val="clear" w:color="auto" w:fill="3366FF"/>
          </w:tcPr>
          <w:p w:rsidR="003271FC" w:rsidRPr="008C33D2" w:rsidRDefault="00DE7DBB" w:rsidP="00F7010E">
            <w:pPr>
              <w:pStyle w:val="Heading1"/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D4240E" w:rsidP="003271FC">
      <w:pPr>
        <w:pStyle w:val="Heading2"/>
      </w:pPr>
      <w:r>
        <w:t>Public &amp; Private Connectors</w:t>
      </w:r>
    </w:p>
    <w:p w:rsidR="00D4240E" w:rsidRDefault="00D4240E" w:rsidP="00D4240E">
      <w:r>
        <w:t>The following articles display the various access connectors an object can have.</w:t>
      </w:r>
    </w:p>
    <w:p w:rsidR="00D4240E" w:rsidRPr="00E3229B" w:rsidRDefault="00D4240E" w:rsidP="00D4240E">
      <w:pPr>
        <w:pStyle w:val="Spacing"/>
      </w:pPr>
    </w:p>
    <w:p w:rsidR="00D4240E" w:rsidRDefault="00D4240E" w:rsidP="00B66844">
      <w:pPr>
        <w:pStyle w:val="Heading4"/>
        <w:ind w:left="852"/>
      </w:pPr>
      <w:r>
        <w:t>Object Connectors</w:t>
      </w:r>
    </w:p>
    <w:p w:rsidR="00D4240E" w:rsidRPr="00E3229B" w:rsidRDefault="00D4240E" w:rsidP="00D4240E">
      <w:pPr>
        <w:pStyle w:val="Spacing"/>
      </w:pPr>
    </w:p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  <w:gridCol w:w="1980"/>
      </w:tblGrid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Object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Object Get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Object Get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30275" cy="644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660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7240" cy="5391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Pr="00031DAB" w:rsidRDefault="00D4240E" w:rsidP="00EB3B2A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Object Set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Object Set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Object Set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03275" cy="644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14400" cy="6292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1525" cy="523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Pr="00E3229B" w:rsidRDefault="00D4240E" w:rsidP="00D4240E">
      <w:pPr>
        <w:pStyle w:val="Spacing"/>
      </w:pPr>
    </w:p>
    <w:p w:rsidR="00D4240E" w:rsidRDefault="00D4240E" w:rsidP="00B66844">
      <w:pPr>
        <w:pStyle w:val="Heading4"/>
        <w:ind w:left="852"/>
      </w:pPr>
      <w:r>
        <w:t>Class Connectors</w:t>
      </w:r>
    </w:p>
    <w:p w:rsidR="00D4240E" w:rsidRPr="00E3229B" w:rsidRDefault="00D4240E" w:rsidP="00D4240E">
      <w:pPr>
        <w:pStyle w:val="Spacing"/>
      </w:pPr>
    </w:p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102"/>
        <w:gridCol w:w="2238"/>
        <w:gridCol w:w="47"/>
        <w:gridCol w:w="2121"/>
        <w:gridCol w:w="166"/>
      </w:tblGrid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 w:rsidRPr="00EB3B2A">
              <w:rPr>
                <w:rFonts w:ascii="Tahoma" w:hAnsi="Tahoma"/>
              </w:rPr>
              <w:br w:type="page"/>
            </w:r>
            <w:r>
              <w:t>Public Use As Class</w:t>
            </w: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Use As Class</w:t>
            </w: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Use As Class</w:t>
            </w:r>
          </w:p>
        </w:tc>
      </w:tr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77900" cy="5975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59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3775" cy="57594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2685" cy="5708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Pr="00031DAB" w:rsidRDefault="00D4240E" w:rsidP="00EB3B2A">
            <w:pPr>
              <w:pStyle w:val="Spacing"/>
              <w:jc w:val="both"/>
            </w:pP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</w:tr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Class Set</w:t>
            </w: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Class Set</w:t>
            </w: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Class Set</w:t>
            </w:r>
          </w:p>
        </w:tc>
      </w:tr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8855" cy="6762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6650" cy="5022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0" cy="502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73810" cy="61341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</w:tr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Reference</w:t>
            </w:r>
            <w:r>
              <w:br/>
              <w:t>Class Get</w:t>
            </w: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Reference</w:t>
            </w:r>
            <w:r>
              <w:br/>
              <w:t>Class Get</w:t>
            </w: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 xml:space="preserve">Friend Reference </w:t>
            </w:r>
            <w:r>
              <w:br/>
              <w:t>Class Get</w:t>
            </w:r>
          </w:p>
        </w:tc>
      </w:tr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1400" cy="6026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60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82980" cy="6235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62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9025" cy="5975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025" cy="597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0E" w:rsidTr="00EB3B2A">
        <w:tc>
          <w:tcPr>
            <w:tcW w:w="2310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2285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2287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</w:tr>
      <w:tr w:rsidR="00D4240E" w:rsidTr="00EB3B2A">
        <w:trPr>
          <w:gridAfter w:val="1"/>
          <w:wAfter w:w="166" w:type="dxa"/>
        </w:trPr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Object</w:t>
            </w:r>
            <w:r>
              <w:br/>
              <w:t>Class Get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Object</w:t>
            </w:r>
            <w:r>
              <w:br/>
              <w:t>Class Get</w:t>
            </w:r>
          </w:p>
        </w:tc>
        <w:tc>
          <w:tcPr>
            <w:tcW w:w="2168" w:type="dxa"/>
            <w:gridSpan w:val="2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Object</w:t>
            </w:r>
            <w:r>
              <w:br/>
              <w:t>Class Get</w:t>
            </w:r>
          </w:p>
        </w:tc>
      </w:tr>
      <w:tr w:rsidR="00D4240E" w:rsidTr="00EB3B2A">
        <w:trPr>
          <w:gridAfter w:val="1"/>
          <w:wAfter w:w="166" w:type="dxa"/>
        </w:trPr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7435" cy="6235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62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7435" cy="655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8" w:type="dxa"/>
            <w:gridSpan w:val="2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2685" cy="61849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Pr="00E3229B" w:rsidRDefault="00D4240E" w:rsidP="00D4240E">
      <w:pPr>
        <w:pStyle w:val="Spacing"/>
      </w:pPr>
    </w:p>
    <w:p w:rsidR="00D4240E" w:rsidRDefault="00D4240E" w:rsidP="00B66844">
      <w:pPr>
        <w:pStyle w:val="Heading4"/>
        <w:ind w:left="852"/>
      </w:pPr>
      <w:r>
        <w:t>Value Connectors</w:t>
      </w:r>
    </w:p>
    <w:p w:rsidR="00D4240E" w:rsidRPr="00E3229B" w:rsidRDefault="00D4240E" w:rsidP="00D4240E">
      <w:pPr>
        <w:pStyle w:val="Spacing"/>
      </w:pPr>
    </w:p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  <w:gridCol w:w="1980"/>
      </w:tblGrid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Value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Value Get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Value Get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2025" cy="54419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1400" cy="5441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04570" cy="5708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0E" w:rsidRPr="00EB3B2A" w:rsidTr="00EB3B2A">
        <w:tc>
          <w:tcPr>
            <w:tcW w:w="2208" w:type="dxa"/>
            <w:shd w:val="clear" w:color="auto" w:fill="auto"/>
            <w:vAlign w:val="center"/>
          </w:tcPr>
          <w:p w:rsidR="00D4240E" w:rsidRPr="00031DAB" w:rsidRDefault="00D4240E" w:rsidP="00EB3B2A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</w:tr>
      <w:tr w:rsidR="00D4240E" w:rsidRPr="00EB3B2A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Value Set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Value Set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Value Set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3775" cy="63944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04570" cy="54419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4570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41400" cy="56007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5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Pr="00E3229B" w:rsidRDefault="00D4240E" w:rsidP="00D4240E">
      <w:pPr>
        <w:pStyle w:val="Spacing"/>
      </w:pPr>
    </w:p>
    <w:p w:rsidR="00D4240E" w:rsidRDefault="00D4240E" w:rsidP="00B66844">
      <w:pPr>
        <w:pStyle w:val="Heading4"/>
        <w:ind w:left="852"/>
      </w:pPr>
      <w:r>
        <w:t>Data Connectors</w:t>
      </w:r>
    </w:p>
    <w:p w:rsidR="00D4240E" w:rsidRDefault="00D4240E" w:rsidP="00D4240E">
      <w:pPr>
        <w:pStyle w:val="Spacing"/>
      </w:pPr>
    </w:p>
    <w:tbl>
      <w:tblPr>
        <w:tblW w:w="6536" w:type="dxa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017"/>
        <w:gridCol w:w="2039"/>
        <w:gridCol w:w="2480"/>
      </w:tblGrid>
      <w:tr w:rsidR="00D4240E" w:rsidTr="00EB3B2A">
        <w:tc>
          <w:tcPr>
            <w:tcW w:w="2017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Data Get</w:t>
            </w:r>
          </w:p>
        </w:tc>
        <w:tc>
          <w:tcPr>
            <w:tcW w:w="2039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Data Get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Data Get</w:t>
            </w:r>
          </w:p>
        </w:tc>
      </w:tr>
      <w:tr w:rsidR="00D4240E" w:rsidTr="00EB3B2A">
        <w:tc>
          <w:tcPr>
            <w:tcW w:w="2017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1560" cy="4546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45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9185" cy="48069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3310" cy="50736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0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0E" w:rsidRPr="00EB3B2A" w:rsidTr="00EB3B2A">
        <w:tc>
          <w:tcPr>
            <w:tcW w:w="2017" w:type="dxa"/>
            <w:shd w:val="clear" w:color="auto" w:fill="auto"/>
            <w:vAlign w:val="center"/>
          </w:tcPr>
          <w:p w:rsidR="00D4240E" w:rsidRPr="00031DAB" w:rsidRDefault="00D4240E" w:rsidP="00EB3B2A">
            <w:pPr>
              <w:pStyle w:val="Spacing"/>
              <w:jc w:val="both"/>
            </w:pPr>
          </w:p>
        </w:tc>
        <w:tc>
          <w:tcPr>
            <w:tcW w:w="2039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248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</w:tr>
      <w:tr w:rsidR="00D4240E" w:rsidRPr="00EB3B2A" w:rsidTr="00EB3B2A">
        <w:tc>
          <w:tcPr>
            <w:tcW w:w="2017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Data Set</w:t>
            </w:r>
          </w:p>
        </w:tc>
        <w:tc>
          <w:tcPr>
            <w:tcW w:w="2039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Data Set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Data Set</w:t>
            </w:r>
          </w:p>
        </w:tc>
      </w:tr>
      <w:tr w:rsidR="00D4240E" w:rsidTr="00EB3B2A">
        <w:tc>
          <w:tcPr>
            <w:tcW w:w="2017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1560" cy="49657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9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5060" cy="4387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2685" cy="4648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Pr="00E3229B" w:rsidRDefault="00D4240E" w:rsidP="00D4240E">
      <w:pPr>
        <w:pStyle w:val="Spacing"/>
      </w:pPr>
    </w:p>
    <w:p w:rsidR="00D4240E" w:rsidRDefault="00D4240E" w:rsidP="00B66844">
      <w:pPr>
        <w:pStyle w:val="Heading4"/>
        <w:ind w:left="852"/>
      </w:pPr>
      <w:r>
        <w:t>Clone Connectors</w:t>
      </w:r>
    </w:p>
    <w:p w:rsidR="00D4240E" w:rsidRDefault="00D4240E" w:rsidP="00D4240E">
      <w:pPr>
        <w:pStyle w:val="Spacing"/>
      </w:pPr>
    </w:p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  <w:gridCol w:w="1980"/>
      </w:tblGrid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Clone (2)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Clone (2) Get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 xml:space="preserve">Friend </w:t>
            </w:r>
            <w:r w:rsidRPr="00EB1112">
              <w:t>Clone (2)</w:t>
            </w:r>
            <w:r>
              <w:t xml:space="preserve"> Get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62685" cy="6553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3310" cy="53911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58674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0E" w:rsidRPr="00EB3B2A" w:rsidTr="00EB3B2A">
        <w:tc>
          <w:tcPr>
            <w:tcW w:w="2208" w:type="dxa"/>
            <w:shd w:val="clear" w:color="auto" w:fill="auto"/>
            <w:vAlign w:val="center"/>
          </w:tcPr>
          <w:p w:rsidR="00D4240E" w:rsidRPr="00031DAB" w:rsidRDefault="00D4240E" w:rsidP="00EB3B2A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</w:tr>
      <w:tr w:rsidR="00D4240E" w:rsidRPr="00EB3B2A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 xml:space="preserve">Public </w:t>
            </w:r>
            <w:r w:rsidRPr="00EB1112">
              <w:t>Clone (2)</w:t>
            </w:r>
            <w:r>
              <w:t xml:space="preserve"> Set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 xml:space="preserve">Private </w:t>
            </w:r>
            <w:r w:rsidRPr="00EB1112">
              <w:t>Clone (2)</w:t>
            </w:r>
            <w:r>
              <w:t xml:space="preserve"> Set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 xml:space="preserve">Friend </w:t>
            </w:r>
            <w:r w:rsidRPr="00EB1112">
              <w:t>Clone (2)</w:t>
            </w:r>
            <w:r>
              <w:t xml:space="preserve"> Set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66611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30935" cy="6235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935" cy="62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4900" cy="60769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60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Pr="00E3229B" w:rsidRDefault="00D4240E" w:rsidP="00D4240E">
      <w:pPr>
        <w:pStyle w:val="Spacing"/>
      </w:pPr>
    </w:p>
    <w:p w:rsidR="00D4240E" w:rsidRDefault="00D4240E" w:rsidP="00B66844">
      <w:pPr>
        <w:pStyle w:val="Heading4"/>
        <w:ind w:left="852"/>
      </w:pPr>
      <w:r>
        <w:t>Existance Connectors</w:t>
      </w:r>
    </w:p>
    <w:p w:rsidR="00D4240E" w:rsidRDefault="00D4240E" w:rsidP="00D4240E">
      <w:pPr>
        <w:pStyle w:val="Spacing"/>
      </w:pPr>
    </w:p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  <w:gridCol w:w="1980"/>
      </w:tblGrid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New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New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New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1560" cy="53403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8855" cy="58674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93775" cy="53911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775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0E" w:rsidRPr="00EB3B2A" w:rsidTr="00EB3B2A">
        <w:tc>
          <w:tcPr>
            <w:tcW w:w="2208" w:type="dxa"/>
            <w:shd w:val="clear" w:color="auto" w:fill="auto"/>
            <w:vAlign w:val="center"/>
          </w:tcPr>
          <w:p w:rsidR="00D4240E" w:rsidRPr="00031DAB" w:rsidRDefault="00D4240E" w:rsidP="00EB3B2A">
            <w:pPr>
              <w:pStyle w:val="Spacing"/>
              <w:jc w:val="both"/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Spacing"/>
              <w:jc w:val="both"/>
            </w:pPr>
          </w:p>
        </w:tc>
      </w:tr>
      <w:tr w:rsidR="00D4240E" w:rsidRPr="00EB3B2A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Annul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Annul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Annul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99185" cy="62357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62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5060" cy="63944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63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5060" cy="61341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Default="00D4240E" w:rsidP="00D4240E">
      <w:pPr>
        <w:pStyle w:val="Spacing"/>
      </w:pPr>
    </w:p>
    <w:p w:rsidR="00D4240E" w:rsidRDefault="00D4240E" w:rsidP="00B66844">
      <w:pPr>
        <w:pStyle w:val="Heading4"/>
        <w:ind w:left="852"/>
      </w:pPr>
      <w:r>
        <w:t>Execute Connectors</w:t>
      </w:r>
    </w:p>
    <w:p w:rsidR="00D4240E" w:rsidRDefault="00D4240E" w:rsidP="00D4240E">
      <w:pPr>
        <w:pStyle w:val="Spacing"/>
      </w:pPr>
    </w:p>
    <w:tbl>
      <w:tblPr>
        <w:tblW w:w="0" w:type="auto"/>
        <w:tblInd w:w="844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  <w:gridCol w:w="1980"/>
      </w:tblGrid>
      <w:tr w:rsidR="00D4240E" w:rsidRPr="00EB3B2A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Public Execute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Private Execute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Friend Execute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46150" cy="48641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09650" cy="44958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3445" cy="44958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Default="00D4240E" w:rsidP="00D4240E">
      <w:pPr>
        <w:pStyle w:val="Spacing"/>
      </w:pPr>
    </w:p>
    <w:p w:rsidR="00D4240E" w:rsidRDefault="00D4240E" w:rsidP="00B66844">
      <w:pPr>
        <w:pStyle w:val="Heading4"/>
        <w:ind w:left="852"/>
      </w:pPr>
      <w:r>
        <w:t>Add And Remove Connectors …</w:t>
      </w:r>
    </w:p>
    <w:p w:rsidR="00D4240E" w:rsidRPr="00D4240E" w:rsidRDefault="00D4240E" w:rsidP="00D4240E">
      <w:pPr>
        <w:ind w:left="1136"/>
      </w:pPr>
      <w:r>
        <w:t>…</w:t>
      </w:r>
    </w:p>
    <w:p w:rsidR="00D4240E" w:rsidRDefault="00D4240E" w:rsidP="00B66844">
      <w:pPr>
        <w:pStyle w:val="Heading4"/>
      </w:pPr>
      <w:r>
        <w:t>Remarks</w:t>
      </w:r>
    </w:p>
    <w:p w:rsidR="00D4240E" w:rsidRDefault="00D4240E" w:rsidP="00D4240E">
      <w:pPr>
        <w:pStyle w:val="StyleHeading6Left15cm"/>
      </w:pPr>
      <w:r>
        <w:t>Object-Bound &amp; Reference Bound</w:t>
      </w:r>
    </w:p>
    <w:p w:rsidR="00D4240E" w:rsidRDefault="00D4240E" w:rsidP="00D4240E">
      <w:pPr>
        <w:ind w:left="1136"/>
      </w:pPr>
      <w:r>
        <w:t xml:space="preserve">In the overviews, object-bound connectors are displayed with a separate shape without a parent, while reference-bound connectors are displayed with the target inside a parent. </w:t>
      </w:r>
    </w:p>
    <w:p w:rsidR="00D4240E" w:rsidRDefault="00D4240E" w:rsidP="00D4240E">
      <w:pPr>
        <w:pStyle w:val="StyleHeading6Left15cm"/>
      </w:pPr>
      <w:r w:rsidRPr="009B330F">
        <w:t>Object Class Connectors</w:t>
      </w:r>
    </w:p>
    <w:p w:rsidR="00D4240E" w:rsidRDefault="00D4240E" w:rsidP="00D4240E">
      <w:pPr>
        <w:ind w:left="1136"/>
      </w:pPr>
      <w:r>
        <w:t>There is no</w:t>
      </w:r>
      <w:r w:rsidRPr="009B330F">
        <w:t xml:space="preserve"> </w:t>
      </w:r>
      <w:r w:rsidRPr="0011570F">
        <w:rPr>
          <w:rStyle w:val="CodeChar"/>
        </w:rPr>
        <w:t xml:space="preserve">Object Class Set </w:t>
      </w:r>
      <w:r>
        <w:t>connector, because the object class can not be freely set; it can only be set on object creation.</w:t>
      </w:r>
    </w:p>
    <w:p w:rsidR="00D4240E" w:rsidRDefault="00D4240E" w:rsidP="00D4240E">
      <w:pPr>
        <w:pStyle w:val="StyleHeading6Left15cm"/>
      </w:pPr>
      <w:r>
        <w:t>Class Get and Use As Class</w:t>
      </w:r>
    </w:p>
    <w:p w:rsidR="00D4240E" w:rsidRDefault="00D4240E" w:rsidP="00D4240E">
      <w:pPr>
        <w:ind w:left="1136"/>
      </w:pPr>
      <w:r>
        <w:t xml:space="preserve">For the </w:t>
      </w:r>
      <w:r w:rsidRPr="00AF6F9A">
        <w:rPr>
          <w:rStyle w:val="CodeChar"/>
        </w:rPr>
        <w:t xml:space="preserve">Class </w:t>
      </w:r>
      <w:r>
        <w:t xml:space="preserve">aspect, there is a distinction between </w:t>
      </w:r>
      <w:r w:rsidRPr="00AF6F9A">
        <w:rPr>
          <w:rStyle w:val="CodeChar"/>
        </w:rPr>
        <w:t>Use As Class</w:t>
      </w:r>
      <w:r>
        <w:t xml:space="preserve"> and </w:t>
      </w:r>
      <w:r w:rsidRPr="00AF6F9A">
        <w:rPr>
          <w:rStyle w:val="CodeChar"/>
        </w:rPr>
        <w:t>Class Get</w:t>
      </w:r>
      <w:r>
        <w:t xml:space="preserve">. They are different. </w:t>
      </w:r>
      <w:r w:rsidRPr="00AF6F9A">
        <w:rPr>
          <w:rStyle w:val="CodeChar"/>
        </w:rPr>
        <w:t xml:space="preserve">Use As Class </w:t>
      </w:r>
      <w:r>
        <w:t xml:space="preserve">makes you use one symbol as the class for another symbol. That is how classes are most commonly used. That would be the result of an </w:t>
      </w:r>
      <w:r w:rsidRPr="00AF6F9A">
        <w:rPr>
          <w:rStyle w:val="CodeChar"/>
        </w:rPr>
        <w:t xml:space="preserve">Object Get </w:t>
      </w:r>
      <w:r w:rsidRPr="00AF6F9A">
        <w:t>on the</w:t>
      </w:r>
      <w:r>
        <w:t xml:space="preserve"> source object, followed by a </w:t>
      </w:r>
      <w:r w:rsidRPr="00AF6F9A">
        <w:rPr>
          <w:rStyle w:val="CodeChar"/>
        </w:rPr>
        <w:t>Class Set</w:t>
      </w:r>
      <w:r w:rsidRPr="00AF6F9A">
        <w:t xml:space="preserve"> on the target object</w:t>
      </w:r>
      <w:r>
        <w:t xml:space="preserve">. No </w:t>
      </w:r>
      <w:r w:rsidRPr="00306A0D">
        <w:rPr>
          <w:rStyle w:val="CodeChar"/>
        </w:rPr>
        <w:t xml:space="preserve">Class Get </w:t>
      </w:r>
      <w:r>
        <w:t xml:space="preserve">is involved in a </w:t>
      </w:r>
      <w:r w:rsidRPr="00502D45">
        <w:rPr>
          <w:rStyle w:val="CodeChar"/>
        </w:rPr>
        <w:t xml:space="preserve">Use As Class </w:t>
      </w:r>
      <w:r>
        <w:t xml:space="preserve">action, which you might expect if you draw a parallel to the </w:t>
      </w:r>
      <w:r w:rsidRPr="00306A0D">
        <w:rPr>
          <w:rStyle w:val="CodeChar"/>
        </w:rPr>
        <w:t xml:space="preserve">Object </w:t>
      </w:r>
      <w:r w:rsidRPr="00502D45">
        <w:t>aspect</w:t>
      </w:r>
      <w:r>
        <w:t>.</w:t>
      </w:r>
    </w:p>
    <w:p w:rsidR="00D4240E" w:rsidRDefault="00D4240E" w:rsidP="00D4240E">
      <w:pPr>
        <w:pStyle w:val="Spacing"/>
        <w:ind w:left="1136"/>
        <w:rPr>
          <w:rStyle w:val="CodeChar"/>
        </w:rPr>
      </w:pPr>
    </w:p>
    <w:p w:rsidR="00D4240E" w:rsidRDefault="00D4240E" w:rsidP="00D4240E">
      <w:pPr>
        <w:ind w:left="1136"/>
      </w:pPr>
      <w:r w:rsidRPr="00AF6F9A">
        <w:rPr>
          <w:rStyle w:val="CodeChar"/>
        </w:rPr>
        <w:t xml:space="preserve">Class Get </w:t>
      </w:r>
      <w:r>
        <w:t xml:space="preserve">gets a reference to the class object of an object. Traditionally this would be considered getting an object’s reflective data. You can use the reference to the class to your own discretion. </w:t>
      </w:r>
      <w:r w:rsidRPr="00306A0D">
        <w:rPr>
          <w:rStyle w:val="CodeChar"/>
        </w:rPr>
        <w:t xml:space="preserve">Class Get </w:t>
      </w:r>
      <w:r>
        <w:t xml:space="preserve">is far less common. </w:t>
      </w:r>
      <w:r w:rsidRPr="009E5851">
        <w:rPr>
          <w:rStyle w:val="CodeChar"/>
        </w:rPr>
        <w:t xml:space="preserve">Use As Class </w:t>
      </w:r>
      <w:r>
        <w:t xml:space="preserve">gets a fundamental notation, whereas </w:t>
      </w:r>
      <w:r w:rsidRPr="009E5851">
        <w:rPr>
          <w:rStyle w:val="CodeChar"/>
        </w:rPr>
        <w:t xml:space="preserve">Class Get </w:t>
      </w:r>
      <w:r>
        <w:t>has to make due</w:t>
      </w:r>
      <w:r w:rsidR="003C0C9A">
        <w:t>s</w:t>
      </w:r>
      <w:r>
        <w:t xml:space="preserve"> with the ‘system command’ notation.</w:t>
      </w:r>
    </w:p>
    <w:p w:rsidR="00D4240E" w:rsidRDefault="00D4240E" w:rsidP="00D4240E">
      <w:pPr>
        <w:pStyle w:val="Spacing"/>
        <w:ind w:left="1136"/>
      </w:pPr>
    </w:p>
    <w:p w:rsidR="00D4240E" w:rsidRDefault="00D4240E" w:rsidP="00D4240E">
      <w:pPr>
        <w:ind w:left="1136"/>
      </w:pPr>
      <w:r>
        <w:t xml:space="preserve">This is due to the behavior of the </w:t>
      </w:r>
      <w:r w:rsidRPr="00306A0D">
        <w:rPr>
          <w:rStyle w:val="CodeChar"/>
        </w:rPr>
        <w:t xml:space="preserve">Class </w:t>
      </w:r>
      <w:r>
        <w:t xml:space="preserve">aspect. This is different behavior compared to the </w:t>
      </w:r>
      <w:r w:rsidRPr="00306A0D">
        <w:rPr>
          <w:rStyle w:val="CodeChar"/>
        </w:rPr>
        <w:t>Object</w:t>
      </w:r>
      <w:r>
        <w:t xml:space="preserve"> aspect. You just have to remember, that each aspect has different behavior, because it has a different purpose.</w:t>
      </w:r>
    </w:p>
    <w:p w:rsidR="00D4240E" w:rsidRDefault="00D4240E" w:rsidP="00D4240E">
      <w:pPr>
        <w:pStyle w:val="Spacing"/>
      </w:pPr>
    </w:p>
    <w:p w:rsidR="00D4240E" w:rsidRDefault="00D4240E" w:rsidP="00D4240E">
      <w:pPr>
        <w:ind w:left="1136"/>
      </w:pPr>
      <w:r>
        <w:t xml:space="preserve">The funny thing about access controlling </w:t>
      </w:r>
      <w:r w:rsidRPr="00CD25F5">
        <w:rPr>
          <w:rStyle w:val="CodeChar"/>
        </w:rPr>
        <w:t>Use As Class</w:t>
      </w:r>
      <w:r>
        <w:t xml:space="preserve">, is that you are actually access controlling the </w:t>
      </w:r>
      <w:r w:rsidRPr="00CD25F5">
        <w:rPr>
          <w:rStyle w:val="CodeChar"/>
        </w:rPr>
        <w:t xml:space="preserve">Object Get </w:t>
      </w:r>
      <w:r>
        <w:t>for specific use in a class assignment.</w:t>
      </w:r>
    </w:p>
    <w:p w:rsidR="00D4240E" w:rsidRDefault="00D4240E" w:rsidP="00D4240E">
      <w:pPr>
        <w:pStyle w:val="StyleHeading6Left15cm"/>
      </w:pPr>
      <w:r>
        <w:t>Value Connectors</w:t>
      </w:r>
    </w:p>
    <w:p w:rsidR="00D4240E" w:rsidRDefault="00D4240E" w:rsidP="00D4240E">
      <w:pPr>
        <w:ind w:left="1136"/>
      </w:pPr>
      <w:r>
        <w:t xml:space="preserve">Note that for the </w:t>
      </w:r>
      <w:r w:rsidRPr="00326F74">
        <w:rPr>
          <w:rStyle w:val="CodeChar"/>
        </w:rPr>
        <w:t>Value</w:t>
      </w:r>
      <w:r>
        <w:t xml:space="preserve"> aspect the directions of </w:t>
      </w:r>
      <w:r w:rsidRPr="00326F74">
        <w:rPr>
          <w:rStyle w:val="CodeChar"/>
        </w:rPr>
        <w:t>Get</w:t>
      </w:r>
      <w:r>
        <w:t xml:space="preserve"> and </w:t>
      </w:r>
      <w:r w:rsidRPr="00326F74">
        <w:rPr>
          <w:rStyle w:val="CodeChar"/>
        </w:rPr>
        <w:t>Set</w:t>
      </w:r>
      <w:r>
        <w:t xml:space="preserve"> are switched compared to the </w:t>
      </w:r>
      <w:r w:rsidRPr="00326F74">
        <w:rPr>
          <w:rStyle w:val="CodeChar"/>
        </w:rPr>
        <w:t>Object</w:t>
      </w:r>
      <w:r>
        <w:t xml:space="preserve"> aspect</w:t>
      </w:r>
    </w:p>
    <w:p w:rsidR="00D4240E" w:rsidRDefault="00D4240E" w:rsidP="00D4240E">
      <w:pPr>
        <w:pStyle w:val="Spacing"/>
      </w:pPr>
    </w:p>
    <w:tbl>
      <w:tblPr>
        <w:tblW w:w="0" w:type="auto"/>
        <w:tblInd w:w="1120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</w:tblGrid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Object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Value Get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30275" cy="6445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27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2025" cy="54419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Default="00D4240E" w:rsidP="00D4240E">
      <w:pPr>
        <w:pStyle w:val="Spacing"/>
      </w:pPr>
    </w:p>
    <w:p w:rsidR="00D4240E" w:rsidRDefault="00D4240E" w:rsidP="00D4240E">
      <w:pPr>
        <w:ind w:left="1136"/>
      </w:pPr>
      <w:r>
        <w:t xml:space="preserve">This is because for the </w:t>
      </w:r>
      <w:r w:rsidRPr="00326F74">
        <w:rPr>
          <w:rStyle w:val="CodeChar"/>
        </w:rPr>
        <w:t>Object</w:t>
      </w:r>
      <w:r>
        <w:t xml:space="preserve"> aspect, the access mark indicates the direction of the </w:t>
      </w:r>
      <w:r w:rsidRPr="00326F74">
        <w:rPr>
          <w:i/>
        </w:rPr>
        <w:t>resultant line</w:t>
      </w:r>
      <w:r>
        <w:t xml:space="preserve">, while for the </w:t>
      </w:r>
      <w:r w:rsidRPr="00326F74">
        <w:rPr>
          <w:rStyle w:val="CodeChar"/>
        </w:rPr>
        <w:t>Value</w:t>
      </w:r>
      <w:r>
        <w:t xml:space="preserve"> aspect, the access mark indicates the direction of the </w:t>
      </w:r>
      <w:r w:rsidRPr="00326F74">
        <w:rPr>
          <w:i/>
        </w:rPr>
        <w:t>assignment</w:t>
      </w:r>
      <w:r>
        <w:t>. You have to remember, that each aspect has its own unique behavior.</w:t>
      </w:r>
    </w:p>
    <w:p w:rsidR="00D4240E" w:rsidRDefault="00D4240E" w:rsidP="00D4240E">
      <w:pPr>
        <w:pStyle w:val="StyleHeading6Left15cm"/>
      </w:pPr>
      <w:r>
        <w:t>Data Connectors</w:t>
      </w:r>
    </w:p>
    <w:p w:rsidR="00D4240E" w:rsidRDefault="00D4240E" w:rsidP="00D4240E">
      <w:pPr>
        <w:ind w:left="1136"/>
      </w:pPr>
      <w:r>
        <w:t xml:space="preserve">You can access control sub-objects, to apply some sort of write-protection to the sub-object. But that does not write-protect the sub-objects of the sub-objects. To collectively write-protect any sub-object, you can access control the object’s </w:t>
      </w:r>
      <w:r w:rsidRPr="00E3229B">
        <w:rPr>
          <w:rStyle w:val="CodeChar"/>
        </w:rPr>
        <w:t xml:space="preserve">Data </w:t>
      </w:r>
      <w:r>
        <w:t>aspect.</w:t>
      </w:r>
    </w:p>
    <w:p w:rsidR="00D4240E" w:rsidRDefault="00D4240E" w:rsidP="00D4240E">
      <w:pPr>
        <w:pStyle w:val="Spacing"/>
      </w:pPr>
    </w:p>
    <w:p w:rsidR="00D4240E" w:rsidRDefault="00950E36" w:rsidP="00D4240E">
      <w:pPr>
        <w:ind w:left="1420"/>
      </w:pPr>
      <w:r>
        <w:rPr>
          <w:noProof/>
        </w:rPr>
        <w:drawing>
          <wp:inline distT="0" distB="0" distL="0" distR="0">
            <wp:extent cx="1051560" cy="4546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0E" w:rsidRDefault="00D4240E" w:rsidP="00D4240E">
      <w:pPr>
        <w:pStyle w:val="Spacing"/>
      </w:pPr>
    </w:p>
    <w:p w:rsidR="00D4240E" w:rsidRDefault="00D4240E" w:rsidP="00D4240E">
      <w:pPr>
        <w:ind w:left="1136"/>
      </w:pPr>
      <w:r>
        <w:t xml:space="preserve">A preliminary notation for </w:t>
      </w:r>
      <w:r w:rsidRPr="00833F2F">
        <w:rPr>
          <w:rStyle w:val="CodeChar"/>
        </w:rPr>
        <w:t xml:space="preserve">Data </w:t>
      </w:r>
      <w:r>
        <w:t xml:space="preserve">access is a </w:t>
      </w:r>
      <w:r>
        <w:rPr>
          <w:i/>
        </w:rPr>
        <w:t xml:space="preserve">triple </w:t>
      </w:r>
      <w:r w:rsidRPr="008E3CF2">
        <w:rPr>
          <w:i/>
        </w:rPr>
        <w:t>wavy line</w:t>
      </w:r>
      <w:r w:rsidRPr="00E3229B">
        <w:t xml:space="preserve"> (</w:t>
      </w:r>
      <w:r>
        <w:t>‘triple’ expressing multitude, ‘wavy’ expressing values or data).</w:t>
      </w:r>
    </w:p>
    <w:p w:rsidR="00D4240E" w:rsidRDefault="00D4240E" w:rsidP="00D4240E">
      <w:pPr>
        <w:pStyle w:val="StyleHeading6Left15cm"/>
      </w:pPr>
      <w:r>
        <w:t>Clone Connectors</w:t>
      </w:r>
    </w:p>
    <w:p w:rsidR="00D4240E" w:rsidRDefault="00D4240E" w:rsidP="00D4240E">
      <w:pPr>
        <w:ind w:left="1136"/>
      </w:pPr>
      <w:r>
        <w:t xml:space="preserve">The </w:t>
      </w:r>
      <w:r w:rsidRPr="00B86AF9">
        <w:rPr>
          <w:rStyle w:val="CodeChar"/>
        </w:rPr>
        <w:t>Value</w:t>
      </w:r>
      <w:r>
        <w:t xml:space="preserve"> aspect is about copying the direct value of the object. But you can also copy the values of sub-objects up to a certain cloning depth. The could be any number of levels up to which the values of sub-objects are cloned. The diagrams in the overview show access connectors for cloning at a depth of </w:t>
      </w:r>
      <w:r w:rsidRPr="0070346F">
        <w:rPr>
          <w:rStyle w:val="CodeChar"/>
        </w:rPr>
        <w:t>2</w:t>
      </w:r>
      <w:r>
        <w:t>. That is just an example. Any cloning depth other than two can also be separately access controlled.</w:t>
      </w:r>
    </w:p>
    <w:p w:rsidR="00D4240E" w:rsidRDefault="00D4240E" w:rsidP="00D4240E">
      <w:pPr>
        <w:pStyle w:val="Spacing"/>
      </w:pPr>
    </w:p>
    <w:p w:rsidR="00D4240E" w:rsidRDefault="00D4240E" w:rsidP="00D4240E">
      <w:pPr>
        <w:ind w:left="1136"/>
      </w:pPr>
      <w:r>
        <w:t xml:space="preserve">Cloning has the exact same notation as the </w:t>
      </w:r>
      <w:r w:rsidRPr="00615996">
        <w:rPr>
          <w:rStyle w:val="CodeChar"/>
        </w:rPr>
        <w:t>Value</w:t>
      </w:r>
      <w:r>
        <w:t xml:space="preserve"> aspect, but then with a number near the access mark, to indicate the cloning depth.</w:t>
      </w:r>
    </w:p>
    <w:p w:rsidR="00D4240E" w:rsidRDefault="00D4240E" w:rsidP="00D4240E">
      <w:pPr>
        <w:pStyle w:val="Spacing"/>
      </w:pPr>
    </w:p>
    <w:tbl>
      <w:tblPr>
        <w:tblW w:w="0" w:type="auto"/>
        <w:tblInd w:w="1120" w:type="dxa"/>
        <w:tblCellMar>
          <w:top w:w="85" w:type="dxa"/>
          <w:left w:w="0" w:type="dxa"/>
          <w:bottom w:w="85" w:type="dxa"/>
          <w:right w:w="0" w:type="dxa"/>
        </w:tblCellMar>
        <w:tblLook w:val="00BF" w:firstRow="1" w:lastRow="0" w:firstColumn="1" w:lastColumn="0" w:noHBand="0" w:noVBand="0"/>
      </w:tblPr>
      <w:tblGrid>
        <w:gridCol w:w="2208"/>
        <w:gridCol w:w="2340"/>
      </w:tblGrid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>
              <w:t>Value Get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D4240E" w:rsidP="00EB3B2A">
            <w:pPr>
              <w:pStyle w:val="Code"/>
              <w:ind w:left="0"/>
              <w:jc w:val="center"/>
            </w:pPr>
            <w:r w:rsidRPr="00EB1112">
              <w:t>Clone (2)</w:t>
            </w:r>
            <w:r>
              <w:t xml:space="preserve"> Get</w:t>
            </w:r>
          </w:p>
        </w:tc>
      </w:tr>
      <w:tr w:rsidR="00D4240E" w:rsidTr="00EB3B2A">
        <w:tc>
          <w:tcPr>
            <w:tcW w:w="2208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62025" cy="54419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D4240E" w:rsidRDefault="00950E36" w:rsidP="00EB3B2A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83310" cy="53911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240E" w:rsidRDefault="00D4240E" w:rsidP="00D4240E">
      <w:pPr>
        <w:pStyle w:val="Spacing"/>
      </w:pPr>
    </w:p>
    <w:p w:rsidR="00D4240E" w:rsidRDefault="00D4240E" w:rsidP="00D4240E">
      <w:pPr>
        <w:ind w:left="1136"/>
      </w:pPr>
      <w:r w:rsidRPr="00A95785">
        <w:rPr>
          <w:rStyle w:val="CodeChar"/>
        </w:rPr>
        <w:t xml:space="preserve">Clone </w:t>
      </w:r>
      <w:r>
        <w:t xml:space="preserve">is simply </w:t>
      </w:r>
      <w:r w:rsidRPr="006A08AE">
        <w:t>that</w:t>
      </w:r>
      <w:r w:rsidRPr="00561B52">
        <w:rPr>
          <w:i/>
        </w:rPr>
        <w:t xml:space="preserve"> </w:t>
      </w:r>
      <w:r>
        <w:t xml:space="preserve">closely related to the </w:t>
      </w:r>
      <w:r w:rsidRPr="00561B52">
        <w:rPr>
          <w:rStyle w:val="CodeChar"/>
        </w:rPr>
        <w:t xml:space="preserve">Value </w:t>
      </w:r>
      <w:r>
        <w:t>aspect.</w:t>
      </w:r>
    </w:p>
    <w:p w:rsidR="00D4240E" w:rsidRDefault="00D4240E" w:rsidP="00D4240E">
      <w:pPr>
        <w:pStyle w:val="StyleHeading6Left15cm"/>
      </w:pPr>
      <w:r>
        <w:t>Interface Connectors &amp; Other Connectors</w:t>
      </w:r>
    </w:p>
    <w:p w:rsidR="00D4240E" w:rsidRPr="005075AE" w:rsidRDefault="00D4240E" w:rsidP="00D4240E">
      <w:pPr>
        <w:ind w:left="1136"/>
      </w:pPr>
      <w:r>
        <w:t xml:space="preserve">There are also interface connectors, but </w:t>
      </w:r>
      <w:r w:rsidRPr="00322975">
        <w:rPr>
          <w:i/>
        </w:rPr>
        <w:t>interfaces</w:t>
      </w:r>
      <w:r>
        <w:t xml:space="preserve"> as a whole will be cought up with in the </w:t>
      </w:r>
      <w:r w:rsidRPr="005075AE">
        <w:rPr>
          <w:i/>
        </w:rPr>
        <w:t xml:space="preserve">Interfaces </w:t>
      </w:r>
      <w:r>
        <w:t>article group. Interface connectors work roughly the same as class connectors. In fact, any other aspect that will be introduced in the future will extend the set of possible connectors.</w:t>
      </w:r>
    </w:p>
    <w:p w:rsidR="00D4240E" w:rsidRDefault="00D4240E" w:rsidP="00D4240E">
      <w:pPr>
        <w:pStyle w:val="StyleHeading6Left15cm"/>
      </w:pPr>
      <w:r>
        <w:t xml:space="preserve">Preliminary System Command Notation </w:t>
      </w:r>
    </w:p>
    <w:p w:rsidR="00D4240E" w:rsidRDefault="00D4240E" w:rsidP="00D4240E">
      <w:pPr>
        <w:ind w:left="1136"/>
      </w:pPr>
      <w:r>
        <w:t>The access connectors using the system command notation have a preliminary notation. The exact notation system commands will get an update in the future.</w:t>
      </w:r>
    </w:p>
    <w:sectPr w:rsidR="00D424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CC5E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388F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2479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E20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8C74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402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03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E8C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F87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AE9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275EB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0C9A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246B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55C8"/>
    <w:rsid w:val="00531F8F"/>
    <w:rsid w:val="00532D2F"/>
    <w:rsid w:val="00532E5E"/>
    <w:rsid w:val="00533114"/>
    <w:rsid w:val="005413FE"/>
    <w:rsid w:val="005454A8"/>
    <w:rsid w:val="005457F4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7268"/>
    <w:rsid w:val="006A0722"/>
    <w:rsid w:val="006A08AE"/>
    <w:rsid w:val="006A21EE"/>
    <w:rsid w:val="006A3731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2384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06673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0E36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5648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5F4E"/>
    <w:rsid w:val="00B14D7A"/>
    <w:rsid w:val="00B23842"/>
    <w:rsid w:val="00B25223"/>
    <w:rsid w:val="00B302D0"/>
    <w:rsid w:val="00B324E7"/>
    <w:rsid w:val="00B33949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6844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6249"/>
    <w:rsid w:val="00BC660C"/>
    <w:rsid w:val="00BD3144"/>
    <w:rsid w:val="00BD3BA9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666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240E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DBB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2A51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3B2A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6D27"/>
    <w:rsid w:val="00F6705B"/>
    <w:rsid w:val="00F7010E"/>
    <w:rsid w:val="00F73035"/>
    <w:rsid w:val="00F76CCE"/>
    <w:rsid w:val="00F80C01"/>
    <w:rsid w:val="00F902EA"/>
    <w:rsid w:val="00F92E05"/>
    <w:rsid w:val="00F95ADF"/>
    <w:rsid w:val="00F97409"/>
    <w:rsid w:val="00FA1ADE"/>
    <w:rsid w:val="00FA4CA2"/>
    <w:rsid w:val="00FA6568"/>
    <w:rsid w:val="00FA7780"/>
    <w:rsid w:val="00FA7BA9"/>
    <w:rsid w:val="00FB056D"/>
    <w:rsid w:val="00FB1457"/>
    <w:rsid w:val="00FB1CF8"/>
    <w:rsid w:val="00FB4AC0"/>
    <w:rsid w:val="00FB5521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14D98CA-9C32-485D-8D4D-F7746D25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2020-05-20T20:51:00Z</dcterms:created>
  <dcterms:modified xsi:type="dcterms:W3CDTF">2020-05-20T20:51:00Z</dcterms:modified>
</cp:coreProperties>
</file>