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7A670D" w:rsidTr="00E10D06">
        <w:tc>
          <w:tcPr>
            <w:tcW w:w="5000" w:type="pct"/>
            <w:shd w:val="clear" w:color="auto" w:fill="3366FF"/>
          </w:tcPr>
          <w:p w:rsidR="003271FC" w:rsidRPr="008C33D2" w:rsidRDefault="00E10D06" w:rsidP="00F7010E">
            <w:pPr>
              <w:pStyle w:val="Heading1"/>
            </w:pPr>
            <w:bookmarkStart w:id="0" w:name="_GoBack"/>
            <w:bookmarkEnd w:id="0"/>
            <w:r>
              <w:t>Circle Language Spec: Events</w:t>
            </w:r>
          </w:p>
        </w:tc>
      </w:tr>
    </w:tbl>
    <w:p w:rsidR="009C6004" w:rsidRDefault="009C6004" w:rsidP="009C6004">
      <w:pPr>
        <w:pStyle w:val="Heading2"/>
      </w:pPr>
      <w:r>
        <w:t>Black Boxing Events</w:t>
      </w:r>
    </w:p>
    <w:p w:rsidR="009C6004" w:rsidRDefault="009C6004" w:rsidP="009C6004">
      <w:r>
        <w:t xml:space="preserve">Details about black boxing are covered in the chapter </w:t>
      </w:r>
      <w:r w:rsidRPr="00CD0FBC">
        <w:rPr>
          <w:i/>
        </w:rPr>
        <w:t>Black Boxing</w:t>
      </w:r>
      <w:r>
        <w:t>.</w:t>
      </w:r>
    </w:p>
    <w:p w:rsidR="009C6004" w:rsidRDefault="009C6004" w:rsidP="009C6004">
      <w:pPr>
        <w:pStyle w:val="Spacing"/>
      </w:pPr>
    </w:p>
    <w:p w:rsidR="009C6004" w:rsidRDefault="009C6004" w:rsidP="009C6004">
      <w:r>
        <w:t>However, two situations are explicitly denoted here:</w:t>
      </w:r>
    </w:p>
    <w:p w:rsidR="009C6004" w:rsidRDefault="009C6004" w:rsidP="009C6004">
      <w:pPr>
        <w:pStyle w:val="Spacing"/>
      </w:pPr>
    </w:p>
    <w:p w:rsidR="009C6004" w:rsidRDefault="009C6004" w:rsidP="009C6004">
      <w:pPr>
        <w:ind w:left="852"/>
      </w:pPr>
      <w:r>
        <w:t xml:space="preserve">- Making events </w:t>
      </w:r>
      <w:r w:rsidRPr="00CD0FBC">
        <w:rPr>
          <w:rStyle w:val="CodeChar"/>
        </w:rPr>
        <w:t>Private</w:t>
      </w:r>
    </w:p>
    <w:p w:rsidR="009C6004" w:rsidRDefault="009C6004" w:rsidP="009C6004">
      <w:pPr>
        <w:ind w:left="852"/>
      </w:pPr>
      <w:r>
        <w:t xml:space="preserve">- Accessing the </w:t>
      </w:r>
      <w:r w:rsidRPr="00CD0FBC">
        <w:rPr>
          <w:rStyle w:val="CodeChar"/>
        </w:rPr>
        <w:t xml:space="preserve">Privates </w:t>
      </w:r>
      <w:r>
        <w:t>of an event parameter</w:t>
      </w:r>
    </w:p>
    <w:p w:rsidR="009C6004" w:rsidRDefault="009C6004" w:rsidP="009C6004">
      <w:pPr>
        <w:pStyle w:val="Spacing"/>
      </w:pPr>
    </w:p>
    <w:p w:rsidR="009C6004" w:rsidRDefault="009C6004" w:rsidP="009C6004">
      <w:r>
        <w:t xml:space="preserve">Just like any other member of an object, events can also be made </w:t>
      </w:r>
      <w:r w:rsidRPr="00244C89">
        <w:rPr>
          <w:rStyle w:val="CodeChar"/>
        </w:rPr>
        <w:t>Private</w:t>
      </w:r>
      <w:r>
        <w:t xml:space="preserve">. In that case only </w:t>
      </w:r>
      <w:r w:rsidRPr="00CD0FBC">
        <w:rPr>
          <w:rStyle w:val="CodeChar"/>
        </w:rPr>
        <w:t xml:space="preserve">Friend </w:t>
      </w:r>
      <w:r>
        <w:t xml:space="preserve">objects can pick up this event. Below you will find the involved notations. Details are not covered. More information about black boxing can be found in the </w:t>
      </w:r>
      <w:r w:rsidRPr="00CD0FBC">
        <w:rPr>
          <w:i/>
        </w:rPr>
        <w:t xml:space="preserve">Black Boxing </w:t>
      </w:r>
      <w:r>
        <w:t>chapter.</w:t>
      </w:r>
    </w:p>
    <w:p w:rsidR="009C6004" w:rsidRDefault="009C6004" w:rsidP="009C6004"/>
    <w:tbl>
      <w:tblPr>
        <w:tblW w:w="0" w:type="auto"/>
        <w:tblInd w:w="609" w:type="dxa"/>
        <w:tblCellMar>
          <w:top w:w="85" w:type="dxa"/>
          <w:left w:w="0" w:type="dxa"/>
          <w:bottom w:w="85" w:type="dxa"/>
          <w:right w:w="0" w:type="dxa"/>
        </w:tblCellMar>
        <w:tblLook w:val="00BF" w:firstRow="1" w:lastRow="0" w:firstColumn="1" w:lastColumn="0" w:noHBand="0" w:noVBand="0"/>
      </w:tblPr>
      <w:tblGrid>
        <w:gridCol w:w="2023"/>
        <w:gridCol w:w="2105"/>
        <w:gridCol w:w="1899"/>
      </w:tblGrid>
      <w:tr w:rsidR="009C6004" w:rsidTr="007A670D">
        <w:tc>
          <w:tcPr>
            <w:tcW w:w="2023" w:type="dxa"/>
            <w:shd w:val="clear" w:color="auto" w:fill="auto"/>
            <w:vAlign w:val="center"/>
          </w:tcPr>
          <w:p w:rsidR="009C6004" w:rsidRDefault="009C6004" w:rsidP="007A670D">
            <w:pPr>
              <w:pStyle w:val="Code"/>
              <w:ind w:left="0"/>
              <w:jc w:val="center"/>
            </w:pPr>
            <w:r>
              <w:t>Public Event</w:t>
            </w:r>
            <w:r>
              <w:br/>
              <w:t>Connector</w:t>
            </w:r>
          </w:p>
        </w:tc>
        <w:tc>
          <w:tcPr>
            <w:tcW w:w="2105" w:type="dxa"/>
            <w:shd w:val="clear" w:color="auto" w:fill="auto"/>
            <w:vAlign w:val="center"/>
          </w:tcPr>
          <w:p w:rsidR="009C6004" w:rsidRDefault="009C6004" w:rsidP="007A670D">
            <w:pPr>
              <w:pStyle w:val="Code"/>
              <w:ind w:left="0"/>
              <w:jc w:val="center"/>
            </w:pPr>
            <w:r>
              <w:t>Friend Event</w:t>
            </w:r>
            <w:r>
              <w:br/>
              <w:t>Connector</w:t>
            </w:r>
          </w:p>
        </w:tc>
        <w:tc>
          <w:tcPr>
            <w:tcW w:w="1899" w:type="dxa"/>
            <w:shd w:val="clear" w:color="auto" w:fill="auto"/>
          </w:tcPr>
          <w:p w:rsidR="009C6004" w:rsidRDefault="009C6004" w:rsidP="007A670D">
            <w:pPr>
              <w:pStyle w:val="Code"/>
              <w:ind w:left="0"/>
              <w:jc w:val="center"/>
            </w:pPr>
            <w:r>
              <w:t>Private Event</w:t>
            </w:r>
            <w:r>
              <w:br/>
              <w:t>Connector</w:t>
            </w:r>
          </w:p>
        </w:tc>
      </w:tr>
      <w:tr w:rsidR="009C6004" w:rsidTr="007A670D">
        <w:tc>
          <w:tcPr>
            <w:tcW w:w="2023" w:type="dxa"/>
            <w:shd w:val="clear" w:color="auto" w:fill="auto"/>
            <w:vAlign w:val="center"/>
          </w:tcPr>
          <w:p w:rsidR="009C6004" w:rsidRDefault="00C20C95" w:rsidP="007A670D">
            <w:pPr>
              <w:pStyle w:val="Code"/>
              <w:ind w:left="0"/>
              <w:jc w:val="center"/>
            </w:pPr>
            <w:r w:rsidRPr="00FE7005">
              <w:rPr>
                <w:noProof/>
              </w:rPr>
              <w:drawing>
                <wp:inline distT="0" distB="0" distL="0" distR="0">
                  <wp:extent cx="1120775" cy="967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120775" cy="967105"/>
                          </a:xfrm>
                          <a:prstGeom prst="rect">
                            <a:avLst/>
                          </a:prstGeom>
                          <a:noFill/>
                          <a:ln>
                            <a:noFill/>
                          </a:ln>
                        </pic:spPr>
                      </pic:pic>
                    </a:graphicData>
                  </a:graphic>
                </wp:inline>
              </w:drawing>
            </w:r>
          </w:p>
        </w:tc>
        <w:tc>
          <w:tcPr>
            <w:tcW w:w="2105" w:type="dxa"/>
            <w:shd w:val="clear" w:color="auto" w:fill="auto"/>
            <w:vAlign w:val="center"/>
          </w:tcPr>
          <w:p w:rsidR="009C6004" w:rsidRDefault="00C20C95" w:rsidP="007A670D">
            <w:pPr>
              <w:pStyle w:val="Code"/>
              <w:ind w:left="0"/>
              <w:jc w:val="center"/>
            </w:pPr>
            <w:r w:rsidRPr="00FE7005">
              <w:rPr>
                <w:noProof/>
              </w:rPr>
              <w:drawing>
                <wp:inline distT="0" distB="0" distL="0" distR="0">
                  <wp:extent cx="1057275" cy="993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1057275" cy="993775"/>
                          </a:xfrm>
                          <a:prstGeom prst="rect">
                            <a:avLst/>
                          </a:prstGeom>
                          <a:noFill/>
                          <a:ln>
                            <a:noFill/>
                          </a:ln>
                        </pic:spPr>
                      </pic:pic>
                    </a:graphicData>
                  </a:graphic>
                </wp:inline>
              </w:drawing>
            </w:r>
          </w:p>
        </w:tc>
        <w:tc>
          <w:tcPr>
            <w:tcW w:w="1899" w:type="dxa"/>
            <w:shd w:val="clear" w:color="auto" w:fill="auto"/>
          </w:tcPr>
          <w:p w:rsidR="009C6004" w:rsidRDefault="00C20C95" w:rsidP="007A670D">
            <w:pPr>
              <w:pStyle w:val="Code"/>
              <w:ind w:left="0"/>
              <w:jc w:val="center"/>
            </w:pPr>
            <w:r w:rsidRPr="00FE7005">
              <w:rPr>
                <w:noProof/>
              </w:rPr>
              <w:drawing>
                <wp:inline distT="0" distB="0" distL="0" distR="0">
                  <wp:extent cx="977900" cy="104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977900" cy="1041400"/>
                          </a:xfrm>
                          <a:prstGeom prst="rect">
                            <a:avLst/>
                          </a:prstGeom>
                          <a:noFill/>
                          <a:ln>
                            <a:noFill/>
                          </a:ln>
                        </pic:spPr>
                      </pic:pic>
                    </a:graphicData>
                  </a:graphic>
                </wp:inline>
              </w:drawing>
            </w:r>
          </w:p>
        </w:tc>
      </w:tr>
      <w:tr w:rsidR="009C6004" w:rsidTr="007A670D">
        <w:tc>
          <w:tcPr>
            <w:tcW w:w="2023" w:type="dxa"/>
            <w:shd w:val="clear" w:color="auto" w:fill="auto"/>
            <w:vAlign w:val="center"/>
          </w:tcPr>
          <w:p w:rsidR="009C6004" w:rsidRPr="00BE2265" w:rsidRDefault="009C6004" w:rsidP="007A670D">
            <w:pPr>
              <w:pStyle w:val="Spacing"/>
              <w:jc w:val="both"/>
            </w:pPr>
          </w:p>
        </w:tc>
        <w:tc>
          <w:tcPr>
            <w:tcW w:w="2105" w:type="dxa"/>
            <w:shd w:val="clear" w:color="auto" w:fill="auto"/>
            <w:vAlign w:val="center"/>
          </w:tcPr>
          <w:p w:rsidR="009C6004" w:rsidRPr="00BE2265" w:rsidRDefault="009C6004" w:rsidP="007A670D">
            <w:pPr>
              <w:pStyle w:val="Spacing"/>
              <w:jc w:val="both"/>
            </w:pPr>
          </w:p>
        </w:tc>
        <w:tc>
          <w:tcPr>
            <w:tcW w:w="1899" w:type="dxa"/>
            <w:shd w:val="clear" w:color="auto" w:fill="auto"/>
          </w:tcPr>
          <w:p w:rsidR="009C6004" w:rsidRDefault="009C6004" w:rsidP="007A670D">
            <w:pPr>
              <w:pStyle w:val="Spacing"/>
              <w:jc w:val="both"/>
            </w:pPr>
          </w:p>
        </w:tc>
      </w:tr>
      <w:tr w:rsidR="009C6004" w:rsidTr="007A670D">
        <w:tc>
          <w:tcPr>
            <w:tcW w:w="2023" w:type="dxa"/>
            <w:shd w:val="clear" w:color="auto" w:fill="auto"/>
            <w:vAlign w:val="center"/>
          </w:tcPr>
          <w:p w:rsidR="009C6004" w:rsidRPr="00BE2265" w:rsidRDefault="009C6004" w:rsidP="007A670D">
            <w:pPr>
              <w:pStyle w:val="Code"/>
              <w:ind w:left="0"/>
              <w:jc w:val="center"/>
            </w:pPr>
            <w:r>
              <w:t>Public Event</w:t>
            </w:r>
            <w:r>
              <w:br/>
              <w:t>Connection</w:t>
            </w:r>
          </w:p>
        </w:tc>
        <w:tc>
          <w:tcPr>
            <w:tcW w:w="2105" w:type="dxa"/>
            <w:shd w:val="clear" w:color="auto" w:fill="auto"/>
            <w:vAlign w:val="center"/>
          </w:tcPr>
          <w:p w:rsidR="009C6004" w:rsidRPr="00BE2265" w:rsidRDefault="009C6004" w:rsidP="007A670D">
            <w:pPr>
              <w:pStyle w:val="Code"/>
              <w:ind w:left="0"/>
              <w:jc w:val="center"/>
            </w:pPr>
            <w:r>
              <w:t>Friend Event</w:t>
            </w:r>
            <w:r>
              <w:br/>
              <w:t>Connection</w:t>
            </w:r>
          </w:p>
        </w:tc>
        <w:tc>
          <w:tcPr>
            <w:tcW w:w="1899" w:type="dxa"/>
            <w:shd w:val="clear" w:color="auto" w:fill="auto"/>
          </w:tcPr>
          <w:p w:rsidR="009C6004" w:rsidRDefault="009C6004" w:rsidP="007A670D">
            <w:pPr>
              <w:pStyle w:val="Code"/>
              <w:ind w:left="0"/>
              <w:jc w:val="center"/>
            </w:pPr>
          </w:p>
        </w:tc>
      </w:tr>
      <w:tr w:rsidR="009C6004" w:rsidTr="007A670D">
        <w:tc>
          <w:tcPr>
            <w:tcW w:w="2023" w:type="dxa"/>
            <w:shd w:val="clear" w:color="auto" w:fill="auto"/>
            <w:vAlign w:val="center"/>
          </w:tcPr>
          <w:p w:rsidR="009C6004" w:rsidRPr="00BE2265" w:rsidRDefault="00C20C95" w:rsidP="007A670D">
            <w:pPr>
              <w:pStyle w:val="Code"/>
              <w:ind w:left="0"/>
              <w:jc w:val="center"/>
            </w:pPr>
            <w:r w:rsidRPr="00FE7005">
              <w:rPr>
                <w:noProof/>
              </w:rPr>
              <w:drawing>
                <wp:inline distT="0" distB="0" distL="0" distR="0">
                  <wp:extent cx="1089025" cy="962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1089025" cy="962025"/>
                          </a:xfrm>
                          <a:prstGeom prst="rect">
                            <a:avLst/>
                          </a:prstGeom>
                          <a:noFill/>
                          <a:ln>
                            <a:noFill/>
                          </a:ln>
                        </pic:spPr>
                      </pic:pic>
                    </a:graphicData>
                  </a:graphic>
                </wp:inline>
              </w:drawing>
            </w:r>
          </w:p>
        </w:tc>
        <w:tc>
          <w:tcPr>
            <w:tcW w:w="2105" w:type="dxa"/>
            <w:shd w:val="clear" w:color="auto" w:fill="auto"/>
            <w:vAlign w:val="center"/>
          </w:tcPr>
          <w:p w:rsidR="009C6004" w:rsidRPr="00BE2265" w:rsidRDefault="00C20C95" w:rsidP="007A670D">
            <w:pPr>
              <w:pStyle w:val="Code"/>
              <w:ind w:left="0"/>
              <w:jc w:val="center"/>
            </w:pPr>
            <w:r w:rsidRPr="00FE7005">
              <w:rPr>
                <w:noProof/>
              </w:rPr>
              <w:drawing>
                <wp:inline distT="0" distB="0" distL="0" distR="0">
                  <wp:extent cx="1104900" cy="935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1104900" cy="935355"/>
                          </a:xfrm>
                          <a:prstGeom prst="rect">
                            <a:avLst/>
                          </a:prstGeom>
                          <a:noFill/>
                          <a:ln>
                            <a:noFill/>
                          </a:ln>
                        </pic:spPr>
                      </pic:pic>
                    </a:graphicData>
                  </a:graphic>
                </wp:inline>
              </w:drawing>
            </w:r>
          </w:p>
        </w:tc>
        <w:tc>
          <w:tcPr>
            <w:tcW w:w="1899" w:type="dxa"/>
            <w:shd w:val="clear" w:color="auto" w:fill="auto"/>
            <w:vAlign w:val="center"/>
          </w:tcPr>
          <w:p w:rsidR="009C6004" w:rsidRDefault="009C6004" w:rsidP="007A670D">
            <w:pPr>
              <w:pStyle w:val="Code"/>
              <w:ind w:left="0"/>
              <w:jc w:val="center"/>
            </w:pPr>
            <w:r>
              <w:t>–</w:t>
            </w:r>
          </w:p>
        </w:tc>
      </w:tr>
    </w:tbl>
    <w:p w:rsidR="009C6004" w:rsidRDefault="009C6004" w:rsidP="009C6004">
      <w:pPr>
        <w:pStyle w:val="Spacing"/>
      </w:pPr>
    </w:p>
    <w:p w:rsidR="009C6004" w:rsidRDefault="009C6004" w:rsidP="009C6004">
      <w:r>
        <w:t xml:space="preserve">There are two reasons why the </w:t>
      </w:r>
      <w:r w:rsidRPr="00F36D81">
        <w:rPr>
          <w:rStyle w:val="CodeChar"/>
        </w:rPr>
        <w:t>Public</w:t>
      </w:r>
      <w:r>
        <w:t xml:space="preserve"> event connector does not get an access mark: </w:t>
      </w:r>
      <w:r w:rsidRPr="00F36D81">
        <w:rPr>
          <w:rStyle w:val="CodeChar"/>
        </w:rPr>
        <w:t>Public</w:t>
      </w:r>
      <w:r>
        <w:t xml:space="preserve"> is sort of the default, and the event connection is outward so it does not need an access symbol. The others do need an access mark, because it is the only way to express the access modification.</w:t>
      </w:r>
    </w:p>
    <w:p w:rsidR="009C6004" w:rsidRDefault="009C6004" w:rsidP="009C6004">
      <w:pPr>
        <w:pStyle w:val="Spacing"/>
      </w:pPr>
    </w:p>
    <w:p w:rsidR="009C6004" w:rsidRDefault="009C6004" w:rsidP="009C6004">
      <w:r>
        <w:t xml:space="preserve">The second black boxing situation to be explicitly mentioned is accessing the </w:t>
      </w:r>
      <w:r w:rsidRPr="00CD0FBC">
        <w:rPr>
          <w:rStyle w:val="CodeChar"/>
        </w:rPr>
        <w:t xml:space="preserve">Privates </w:t>
      </w:r>
      <w:r>
        <w:t xml:space="preserve">of an event parameter. By default you only get to access the </w:t>
      </w:r>
      <w:r w:rsidRPr="00CD0FBC">
        <w:rPr>
          <w:rStyle w:val="CodeChar"/>
        </w:rPr>
        <w:t>Public</w:t>
      </w:r>
      <w:r>
        <w:t xml:space="preserve"> members of an event parameter. This is what makes it the black box principle.</w:t>
      </w:r>
    </w:p>
    <w:p w:rsidR="009C6004" w:rsidRDefault="009C6004" w:rsidP="009C6004">
      <w:pPr>
        <w:pStyle w:val="Spacing"/>
      </w:pPr>
    </w:p>
    <w:p w:rsidR="009C6004" w:rsidRDefault="00C20C95" w:rsidP="009C6004">
      <w:pPr>
        <w:ind w:left="852"/>
      </w:pPr>
      <w:r>
        <w:rPr>
          <w:noProof/>
        </w:rPr>
        <w:drawing>
          <wp:inline distT="0" distB="0" distL="0" distR="0">
            <wp:extent cx="1532890" cy="1289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1532890" cy="1289685"/>
                    </a:xfrm>
                    <a:prstGeom prst="rect">
                      <a:avLst/>
                    </a:prstGeom>
                    <a:noFill/>
                    <a:ln>
                      <a:noFill/>
                    </a:ln>
                  </pic:spPr>
                </pic:pic>
              </a:graphicData>
            </a:graphic>
          </wp:inline>
        </w:drawing>
      </w:r>
    </w:p>
    <w:p w:rsidR="009C6004" w:rsidRDefault="009C6004" w:rsidP="009C6004">
      <w:pPr>
        <w:pStyle w:val="Spacing"/>
      </w:pPr>
    </w:p>
    <w:p w:rsidR="009C6004" w:rsidRDefault="009C6004" w:rsidP="009C6004">
      <w:r>
        <w:t xml:space="preserve">To be able to access the Private members of the event parameter, the event procedure must be declared </w:t>
      </w:r>
      <w:r w:rsidRPr="00CD0FBC">
        <w:rPr>
          <w:rStyle w:val="CodeChar"/>
        </w:rPr>
        <w:t xml:space="preserve">Friend </w:t>
      </w:r>
      <w:r>
        <w:t>of the event parameter.</w:t>
      </w:r>
    </w:p>
    <w:p w:rsidR="009C6004" w:rsidRDefault="009C6004" w:rsidP="009C6004">
      <w:pPr>
        <w:pStyle w:val="Spacing"/>
      </w:pPr>
    </w:p>
    <w:p w:rsidR="009C6004" w:rsidRDefault="00C20C95" w:rsidP="009C6004">
      <w:pPr>
        <w:ind w:left="852"/>
      </w:pPr>
      <w:r>
        <w:rPr>
          <w:noProof/>
        </w:rPr>
        <w:drawing>
          <wp:inline distT="0" distB="0" distL="0" distR="0">
            <wp:extent cx="1543685" cy="1294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1543685" cy="1294765"/>
                    </a:xfrm>
                    <a:prstGeom prst="rect">
                      <a:avLst/>
                    </a:prstGeom>
                    <a:noFill/>
                    <a:ln>
                      <a:noFill/>
                    </a:ln>
                  </pic:spPr>
                </pic:pic>
              </a:graphicData>
            </a:graphic>
          </wp:inline>
        </w:drawing>
      </w:r>
    </w:p>
    <w:p w:rsidR="009C6004" w:rsidRDefault="009C6004" w:rsidP="009C6004">
      <w:pPr>
        <w:pStyle w:val="Spacing"/>
      </w:pPr>
    </w:p>
    <w:p w:rsidR="009C6004" w:rsidRDefault="009C6004" w:rsidP="009C6004">
      <w:pPr>
        <w:ind w:left="568"/>
      </w:pPr>
      <w:r>
        <w:t xml:space="preserve">Then the event procedure can access the </w:t>
      </w:r>
      <w:r w:rsidRPr="00CD0FBC">
        <w:rPr>
          <w:rStyle w:val="CodeChar"/>
        </w:rPr>
        <w:t xml:space="preserve">Private </w:t>
      </w:r>
      <w:r>
        <w:t>members of the event parameter:</w:t>
      </w:r>
    </w:p>
    <w:p w:rsidR="009C6004" w:rsidRDefault="009C6004" w:rsidP="009C6004">
      <w:pPr>
        <w:pStyle w:val="Spacing"/>
      </w:pPr>
    </w:p>
    <w:p w:rsidR="009C6004" w:rsidRDefault="00C20C95" w:rsidP="009C6004">
      <w:pPr>
        <w:ind w:left="852"/>
      </w:pPr>
      <w:r>
        <w:rPr>
          <w:noProof/>
        </w:rPr>
        <w:drawing>
          <wp:inline distT="0" distB="0" distL="0" distR="0">
            <wp:extent cx="1543685" cy="1305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543685" cy="1305560"/>
                    </a:xfrm>
                    <a:prstGeom prst="rect">
                      <a:avLst/>
                    </a:prstGeom>
                    <a:noFill/>
                    <a:ln>
                      <a:noFill/>
                    </a:ln>
                  </pic:spPr>
                </pic:pic>
              </a:graphicData>
            </a:graphic>
          </wp:inline>
        </w:drawing>
      </w:r>
    </w:p>
    <w:p w:rsidR="009C6004" w:rsidRDefault="009C6004" w:rsidP="009C6004">
      <w:pPr>
        <w:pStyle w:val="Spacing"/>
      </w:pPr>
    </w:p>
    <w:p w:rsidR="009C6004" w:rsidRDefault="009C6004" w:rsidP="009C6004">
      <w:r>
        <w:t xml:space="preserve">The </w:t>
      </w:r>
      <w:r w:rsidRPr="00774BCF">
        <w:rPr>
          <w:rStyle w:val="CodeChar"/>
        </w:rPr>
        <w:t xml:space="preserve">Friend </w:t>
      </w:r>
      <w:r>
        <w:t xml:space="preserve">declaration is an agreement between the event sender and the class of the event parameter. The </w:t>
      </w:r>
      <w:r w:rsidRPr="00774BCF">
        <w:rPr>
          <w:rStyle w:val="CodeChar"/>
        </w:rPr>
        <w:t>Friend</w:t>
      </w:r>
      <w:r>
        <w:t xml:space="preserve"> declaration is part of the event interface, defined by the event sender. So the event receiver can not just declare itself </w:t>
      </w:r>
      <w:r w:rsidRPr="00774BCF">
        <w:rPr>
          <w:rStyle w:val="CodeChar"/>
        </w:rPr>
        <w:t xml:space="preserve">Friend </w:t>
      </w:r>
      <w:r>
        <w:t>of the event parameter whenever it feels like it.</w:t>
      </w:r>
    </w:p>
    <w:sectPr w:rsidR="009C60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2078D"/>
    <w:rsid w:val="00031913"/>
    <w:rsid w:val="00053E87"/>
    <w:rsid w:val="00064403"/>
    <w:rsid w:val="000C7D9D"/>
    <w:rsid w:val="000D7022"/>
    <w:rsid w:val="000F652F"/>
    <w:rsid w:val="00175EE4"/>
    <w:rsid w:val="00177197"/>
    <w:rsid w:val="001B7346"/>
    <w:rsid w:val="001C0F13"/>
    <w:rsid w:val="0027394B"/>
    <w:rsid w:val="002C166C"/>
    <w:rsid w:val="00311845"/>
    <w:rsid w:val="0032466D"/>
    <w:rsid w:val="003271FC"/>
    <w:rsid w:val="003F7D4C"/>
    <w:rsid w:val="0041620C"/>
    <w:rsid w:val="004348B0"/>
    <w:rsid w:val="004545D7"/>
    <w:rsid w:val="004D4169"/>
    <w:rsid w:val="00510ADB"/>
    <w:rsid w:val="00513EB2"/>
    <w:rsid w:val="00532D2F"/>
    <w:rsid w:val="00571582"/>
    <w:rsid w:val="00574711"/>
    <w:rsid w:val="005A1878"/>
    <w:rsid w:val="0061025E"/>
    <w:rsid w:val="006876A4"/>
    <w:rsid w:val="006B64D3"/>
    <w:rsid w:val="006F2631"/>
    <w:rsid w:val="007442B6"/>
    <w:rsid w:val="007A670D"/>
    <w:rsid w:val="007E7FC4"/>
    <w:rsid w:val="00840264"/>
    <w:rsid w:val="00846B80"/>
    <w:rsid w:val="008C6D6B"/>
    <w:rsid w:val="008F228C"/>
    <w:rsid w:val="00916207"/>
    <w:rsid w:val="00916A8F"/>
    <w:rsid w:val="00954D31"/>
    <w:rsid w:val="009A1E2B"/>
    <w:rsid w:val="009C6004"/>
    <w:rsid w:val="009C617F"/>
    <w:rsid w:val="009F2C47"/>
    <w:rsid w:val="00A03B50"/>
    <w:rsid w:val="00A37A6A"/>
    <w:rsid w:val="00A531F0"/>
    <w:rsid w:val="00AA0A55"/>
    <w:rsid w:val="00AC64AE"/>
    <w:rsid w:val="00AD0AD9"/>
    <w:rsid w:val="00B25223"/>
    <w:rsid w:val="00B33399"/>
    <w:rsid w:val="00B54CD6"/>
    <w:rsid w:val="00B633F4"/>
    <w:rsid w:val="00BF0D7A"/>
    <w:rsid w:val="00C057FC"/>
    <w:rsid w:val="00C20C95"/>
    <w:rsid w:val="00C82778"/>
    <w:rsid w:val="00D06B66"/>
    <w:rsid w:val="00D6525C"/>
    <w:rsid w:val="00DC1C56"/>
    <w:rsid w:val="00DF5BE0"/>
    <w:rsid w:val="00E10D06"/>
    <w:rsid w:val="00E270C8"/>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BA4DE65-4556-4B90-B760-DE126958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510ADB"/>
    <w:pPr>
      <w:keepNext/>
      <w:spacing w:before="260" w:after="14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9C6004"/>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2020-05-22T19:34:00Z</dcterms:created>
  <dcterms:modified xsi:type="dcterms:W3CDTF">2020-05-22T19:34:00Z</dcterms:modified>
</cp:coreProperties>
</file>